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ADDA" w14:textId="0B807BC5" w:rsidR="00E42F25" w:rsidRPr="00E42F25" w:rsidRDefault="00E42F25" w:rsidP="00E42F25">
      <w:pPr>
        <w:suppressAutoHyphens/>
        <w:spacing w:line="276" w:lineRule="auto"/>
        <w:jc w:val="both"/>
        <w:rPr>
          <w:rFonts w:ascii="Calibri" w:hAnsi="Calibri" w:cs="Tahoma"/>
          <w:b/>
          <w:sz w:val="32"/>
          <w:szCs w:val="32"/>
          <w:u w:val="single"/>
        </w:rPr>
      </w:pPr>
      <w:r w:rsidRPr="00E42F25">
        <w:rPr>
          <w:rFonts w:ascii="Calibri" w:hAnsi="Calibri" w:cs="Tahoma"/>
          <w:b/>
          <w:sz w:val="32"/>
          <w:szCs w:val="32"/>
          <w:u w:val="single"/>
        </w:rPr>
        <w:t>Requisitos de evaluación y seguimiento a proveedores</w:t>
      </w:r>
    </w:p>
    <w:p w14:paraId="12DB7B56" w14:textId="77777777" w:rsidR="00E42F25" w:rsidRPr="00C25419" w:rsidRDefault="00E42F25" w:rsidP="00E42F25">
      <w:pPr>
        <w:suppressAutoHyphens/>
        <w:spacing w:line="276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14:paraId="09173E61" w14:textId="77777777" w:rsidR="00E42F25" w:rsidRPr="00C25419" w:rsidRDefault="00E42F25" w:rsidP="00E42F25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C25419">
        <w:rPr>
          <w:rFonts w:ascii="Calibri" w:hAnsi="Calibri" w:cs="Tahoma"/>
          <w:sz w:val="22"/>
          <w:szCs w:val="22"/>
        </w:rPr>
        <w:t xml:space="preserve">El </w:t>
      </w:r>
      <w:proofErr w:type="gramStart"/>
      <w:r w:rsidRPr="00C25419">
        <w:rPr>
          <w:rFonts w:ascii="Calibri" w:hAnsi="Calibri" w:cs="Tahoma"/>
          <w:sz w:val="22"/>
          <w:szCs w:val="22"/>
        </w:rPr>
        <w:t>Responsable</w:t>
      </w:r>
      <w:proofErr w:type="gramEnd"/>
      <w:r w:rsidRPr="00C25419">
        <w:rPr>
          <w:rFonts w:ascii="Calibri" w:hAnsi="Calibri" w:cs="Tahoma"/>
          <w:sz w:val="22"/>
          <w:szCs w:val="22"/>
        </w:rPr>
        <w:t xml:space="preserve"> de Calidad y Medio </w:t>
      </w:r>
      <w:r>
        <w:rPr>
          <w:rFonts w:ascii="Calibri" w:hAnsi="Calibri" w:cs="Tahoma"/>
          <w:sz w:val="22"/>
          <w:szCs w:val="22"/>
        </w:rPr>
        <w:t>A</w:t>
      </w:r>
      <w:r w:rsidRPr="00C25419">
        <w:rPr>
          <w:rFonts w:ascii="Calibri" w:hAnsi="Calibri" w:cs="Tahoma"/>
          <w:sz w:val="22"/>
          <w:szCs w:val="22"/>
        </w:rPr>
        <w:t xml:space="preserve">mbiente, junto con los Responsables de Compras y Logística, lleva a cabo una evaluación de los proveedores activos con una frecuencia anual. </w:t>
      </w:r>
    </w:p>
    <w:p w14:paraId="5BC0C230" w14:textId="77777777" w:rsidR="00E42F25" w:rsidRPr="00C25419" w:rsidRDefault="00E42F25" w:rsidP="00E42F2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</w:p>
    <w:p w14:paraId="0CE69910" w14:textId="77777777" w:rsidR="00E42F25" w:rsidRPr="00C25419" w:rsidRDefault="00E42F25" w:rsidP="00E42F2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  <w:r w:rsidRPr="00C25419">
        <w:rPr>
          <w:rFonts w:ascii="Calibri" w:hAnsi="Calibri" w:cs="Tahoma"/>
          <w:spacing w:val="-3"/>
          <w:sz w:val="22"/>
          <w:szCs w:val="22"/>
        </w:rPr>
        <w:t xml:space="preserve">La evaluación de proveedores debe servir para encuadrar a cada uno de ellos en una categoría que ayude a los Departamentos de Compras, Logística, Calidad y Medio Ambiente y a </w:t>
      </w:r>
      <w:smartTag w:uri="urn:schemas-microsoft-com:office:smarttags" w:element="PersonName">
        <w:smartTagPr>
          <w:attr w:name="ProductID" w:val="la Direcci￳n"/>
        </w:smartTagPr>
        <w:r w:rsidRPr="00C25419">
          <w:rPr>
            <w:rFonts w:ascii="Calibri" w:hAnsi="Calibri" w:cs="Tahoma"/>
            <w:spacing w:val="-3"/>
            <w:sz w:val="22"/>
            <w:szCs w:val="22"/>
          </w:rPr>
          <w:t>la Dirección</w:t>
        </w:r>
      </w:smartTag>
      <w:r w:rsidRPr="00C25419">
        <w:rPr>
          <w:rFonts w:ascii="Calibri" w:hAnsi="Calibri" w:cs="Tahoma"/>
          <w:spacing w:val="-3"/>
          <w:sz w:val="22"/>
          <w:szCs w:val="22"/>
        </w:rPr>
        <w:t xml:space="preserve"> a gestionar la selección de </w:t>
      </w:r>
      <w:proofErr w:type="gramStart"/>
      <w:r w:rsidRPr="00C25419">
        <w:rPr>
          <w:rFonts w:ascii="Calibri" w:hAnsi="Calibri" w:cs="Tahoma"/>
          <w:spacing w:val="-3"/>
          <w:sz w:val="22"/>
          <w:szCs w:val="22"/>
        </w:rPr>
        <w:t>los mismos</w:t>
      </w:r>
      <w:proofErr w:type="gramEnd"/>
      <w:r w:rsidRPr="00C25419">
        <w:rPr>
          <w:rFonts w:ascii="Calibri" w:hAnsi="Calibri" w:cs="Tahoma"/>
          <w:spacing w:val="-3"/>
          <w:sz w:val="22"/>
          <w:szCs w:val="22"/>
        </w:rPr>
        <w:t xml:space="preserve"> y </w:t>
      </w:r>
      <w:r>
        <w:rPr>
          <w:rFonts w:ascii="Calibri" w:hAnsi="Calibri" w:cs="Tahoma"/>
          <w:spacing w:val="-3"/>
          <w:sz w:val="22"/>
          <w:szCs w:val="22"/>
        </w:rPr>
        <w:t xml:space="preserve">a </w:t>
      </w:r>
      <w:r w:rsidRPr="00C25419">
        <w:rPr>
          <w:rFonts w:ascii="Calibri" w:hAnsi="Calibri" w:cs="Tahoma"/>
          <w:spacing w:val="-3"/>
          <w:sz w:val="22"/>
          <w:szCs w:val="22"/>
        </w:rPr>
        <w:t xml:space="preserve">tener información sobre la calidad de los proveedores que suministran a la empresa productos y servicios que después se trasladarán a los clientes (o a la propia empresa para el desarrollo de su actividad). Por ello, se han considerado los siguientes parámetros fundamentales </w:t>
      </w:r>
      <w:proofErr w:type="gramStart"/>
      <w:r w:rsidRPr="00C25419">
        <w:rPr>
          <w:rFonts w:ascii="Calibri" w:hAnsi="Calibri" w:cs="Tahoma"/>
          <w:spacing w:val="-3"/>
          <w:sz w:val="22"/>
          <w:szCs w:val="22"/>
        </w:rPr>
        <w:t>a</w:t>
      </w:r>
      <w:proofErr w:type="gramEnd"/>
      <w:r w:rsidRPr="00C25419">
        <w:rPr>
          <w:rFonts w:ascii="Calibri" w:hAnsi="Calibri" w:cs="Tahoma"/>
          <w:spacing w:val="-3"/>
          <w:sz w:val="22"/>
          <w:szCs w:val="22"/>
        </w:rPr>
        <w:t xml:space="preserve"> tener en cuenta:</w:t>
      </w:r>
    </w:p>
    <w:p w14:paraId="058AA454" w14:textId="77777777" w:rsidR="00E42F25" w:rsidRPr="00C25419" w:rsidRDefault="00E42F25" w:rsidP="00E42F25">
      <w:pPr>
        <w:tabs>
          <w:tab w:val="left" w:pos="-720"/>
        </w:tabs>
        <w:suppressAutoHyphens/>
        <w:spacing w:line="276" w:lineRule="auto"/>
        <w:ind w:firstLine="540"/>
        <w:jc w:val="both"/>
        <w:rPr>
          <w:rFonts w:ascii="Calibri" w:hAnsi="Calibri" w:cs="Tahoma"/>
          <w:spacing w:val="-3"/>
          <w:sz w:val="22"/>
          <w:szCs w:val="22"/>
        </w:rPr>
      </w:pPr>
    </w:p>
    <w:p w14:paraId="32CECFC2" w14:textId="77777777" w:rsidR="00E42F25" w:rsidRDefault="00E42F25" w:rsidP="00E42F2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  <w:r w:rsidRPr="00C25419">
        <w:rPr>
          <w:rFonts w:ascii="Calibri" w:hAnsi="Calibri" w:cs="Tahoma"/>
          <w:spacing w:val="-3"/>
          <w:sz w:val="22"/>
          <w:szCs w:val="22"/>
        </w:rPr>
        <w:sym w:font="Wingdings" w:char="F0F0"/>
      </w:r>
      <w:r w:rsidRPr="00C25419">
        <w:rPr>
          <w:rFonts w:ascii="Calibri" w:hAnsi="Calibri" w:cs="Tahoma"/>
          <w:spacing w:val="-3"/>
          <w:sz w:val="22"/>
          <w:szCs w:val="22"/>
        </w:rPr>
        <w:t xml:space="preserve">  </w:t>
      </w:r>
      <w:r w:rsidRPr="00C25419">
        <w:rPr>
          <w:rFonts w:ascii="Calibri" w:hAnsi="Calibri" w:cs="Tahoma"/>
          <w:i/>
          <w:spacing w:val="-3"/>
          <w:sz w:val="22"/>
          <w:szCs w:val="22"/>
        </w:rPr>
        <w:t>Grado de adecuación general con los requisitos exigidos por el producto o servicio</w:t>
      </w:r>
      <w:r w:rsidRPr="00C25419">
        <w:rPr>
          <w:rFonts w:ascii="Calibri" w:hAnsi="Calibri" w:cs="Tahoma"/>
          <w:spacing w:val="-3"/>
          <w:sz w:val="22"/>
          <w:szCs w:val="22"/>
        </w:rPr>
        <w:t>. El Departamento de Compras, en función de las necesidades y la oferta del mercado calificará a cada proveedor en:</w:t>
      </w:r>
    </w:p>
    <w:p w14:paraId="43050384" w14:textId="77777777" w:rsidR="00E42F25" w:rsidRDefault="00E42F25" w:rsidP="00E42F2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</w:p>
    <w:p w14:paraId="3264C814" w14:textId="77777777" w:rsidR="00E42F25" w:rsidRDefault="00E42F25" w:rsidP="00E42F25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  <w:r w:rsidRPr="00E02B8A">
        <w:rPr>
          <w:rFonts w:ascii="Calibri" w:hAnsi="Calibri" w:cs="Tahoma"/>
          <w:b/>
          <w:spacing w:val="-3"/>
          <w:sz w:val="22"/>
          <w:szCs w:val="22"/>
        </w:rPr>
        <w:t>Calificado:</w:t>
      </w:r>
      <w:r>
        <w:rPr>
          <w:rFonts w:ascii="Calibri" w:hAnsi="Calibri" w:cs="Tahoma"/>
          <w:spacing w:val="-3"/>
          <w:sz w:val="22"/>
          <w:szCs w:val="22"/>
        </w:rPr>
        <w:t xml:space="preserve"> cuando el volumen anual de las operaciones efectuadas con el proveedor es superior a los 50.000€. Estos son los proveedores que estarán incluidos en la evaluación anual, teniendo en cuenta los siguientes cuatro parámetros: </w:t>
      </w:r>
    </w:p>
    <w:p w14:paraId="5F5C7B09" w14:textId="77777777" w:rsidR="00E42F25" w:rsidRDefault="00E42F25" w:rsidP="00E42F2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</w:p>
    <w:p w14:paraId="79E8E4F4" w14:textId="77777777" w:rsidR="00E42F25" w:rsidRDefault="00E42F25" w:rsidP="00E42F25">
      <w:pPr>
        <w:numPr>
          <w:ilvl w:val="1"/>
          <w:numId w:val="2"/>
        </w:num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  <w:r w:rsidRPr="00E02B8A">
        <w:rPr>
          <w:rFonts w:ascii="Calibri" w:hAnsi="Calibri" w:cs="Tahoma"/>
          <w:i/>
          <w:spacing w:val="-3"/>
          <w:sz w:val="22"/>
          <w:szCs w:val="22"/>
        </w:rPr>
        <w:t>Fabricante:</w:t>
      </w:r>
      <w:r>
        <w:rPr>
          <w:rFonts w:ascii="Calibri" w:hAnsi="Calibri" w:cs="Tahoma"/>
          <w:spacing w:val="-3"/>
          <w:sz w:val="22"/>
          <w:szCs w:val="22"/>
        </w:rPr>
        <w:t xml:space="preserve"> el proveedor es el fabricante del producto del cual </w:t>
      </w:r>
      <w:r>
        <w:rPr>
          <w:rFonts w:ascii="Calibri" w:hAnsi="Calibri" w:cs="Tahoma"/>
          <w:b/>
          <w:spacing w:val="-3"/>
          <w:sz w:val="22"/>
          <w:szCs w:val="22"/>
        </w:rPr>
        <w:t>GRUPO CRAMBO</w:t>
      </w:r>
      <w:r>
        <w:rPr>
          <w:rFonts w:ascii="Calibri" w:hAnsi="Calibri" w:cs="Tahoma"/>
          <w:spacing w:val="-3"/>
          <w:sz w:val="22"/>
          <w:szCs w:val="22"/>
        </w:rPr>
        <w:t xml:space="preserve"> es distribuidor con un determinado grado de exclusividad</w:t>
      </w:r>
    </w:p>
    <w:p w14:paraId="76A458ED" w14:textId="77777777" w:rsidR="00E42F25" w:rsidRDefault="00E42F25" w:rsidP="00E42F25">
      <w:pPr>
        <w:numPr>
          <w:ilvl w:val="1"/>
          <w:numId w:val="2"/>
        </w:num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  <w:r w:rsidRPr="00E02B8A">
        <w:rPr>
          <w:rFonts w:ascii="Calibri" w:hAnsi="Calibri" w:cs="Tahoma"/>
          <w:i/>
          <w:spacing w:val="-3"/>
          <w:sz w:val="22"/>
          <w:szCs w:val="22"/>
        </w:rPr>
        <w:t>Prescripción del fabricante:</w:t>
      </w:r>
      <w:r>
        <w:rPr>
          <w:rFonts w:ascii="Calibri" w:hAnsi="Calibri" w:cs="Tahoma"/>
          <w:spacing w:val="-3"/>
          <w:sz w:val="22"/>
          <w:szCs w:val="22"/>
        </w:rPr>
        <w:t xml:space="preserve"> las condiciones del fabricante establecen a ciertos proveedores como distribuidores en exclusiva de sus productos</w:t>
      </w:r>
    </w:p>
    <w:p w14:paraId="19F478B5" w14:textId="77777777" w:rsidR="00E42F25" w:rsidRDefault="00E42F25" w:rsidP="00E42F25">
      <w:pPr>
        <w:numPr>
          <w:ilvl w:val="1"/>
          <w:numId w:val="2"/>
        </w:num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  <w:r>
        <w:rPr>
          <w:rFonts w:ascii="Calibri" w:hAnsi="Calibri" w:cs="Tahoma"/>
          <w:i/>
          <w:spacing w:val="-3"/>
          <w:sz w:val="22"/>
          <w:szCs w:val="22"/>
        </w:rPr>
        <w:t>Precio.</w:t>
      </w:r>
    </w:p>
    <w:p w14:paraId="52C76DED" w14:textId="77777777" w:rsidR="00E42F25" w:rsidRPr="00E02B8A" w:rsidRDefault="00E42F25" w:rsidP="00E42F25">
      <w:pPr>
        <w:numPr>
          <w:ilvl w:val="1"/>
          <w:numId w:val="2"/>
        </w:num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i/>
          <w:spacing w:val="-3"/>
          <w:sz w:val="22"/>
          <w:szCs w:val="22"/>
        </w:rPr>
      </w:pPr>
      <w:r w:rsidRPr="00E02B8A">
        <w:rPr>
          <w:rFonts w:ascii="Calibri" w:hAnsi="Calibri" w:cs="Tahoma"/>
          <w:i/>
          <w:spacing w:val="-3"/>
          <w:sz w:val="22"/>
          <w:szCs w:val="22"/>
        </w:rPr>
        <w:t>Servicio.</w:t>
      </w:r>
    </w:p>
    <w:p w14:paraId="47D10373" w14:textId="77777777" w:rsidR="00E42F25" w:rsidRPr="00C25419" w:rsidRDefault="00E42F25" w:rsidP="00E42F2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</w:p>
    <w:p w14:paraId="387E3143" w14:textId="77777777" w:rsidR="00E42F25" w:rsidRPr="00C25419" w:rsidRDefault="00E42F25" w:rsidP="00E42F25">
      <w:pPr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  <w:r w:rsidRPr="00E02B8A">
        <w:rPr>
          <w:rFonts w:ascii="Calibri" w:hAnsi="Calibri" w:cs="Tahoma"/>
          <w:b/>
          <w:spacing w:val="-3"/>
          <w:sz w:val="22"/>
          <w:szCs w:val="22"/>
        </w:rPr>
        <w:t>No Calificado:</w:t>
      </w:r>
      <w:r w:rsidRPr="00C25419">
        <w:rPr>
          <w:rFonts w:ascii="Calibri" w:hAnsi="Calibri" w:cs="Tahoma"/>
          <w:spacing w:val="-3"/>
          <w:sz w:val="22"/>
          <w:szCs w:val="22"/>
        </w:rPr>
        <w:t xml:space="preserve"> </w:t>
      </w:r>
      <w:r>
        <w:rPr>
          <w:rFonts w:ascii="Calibri" w:hAnsi="Calibri" w:cs="Tahoma"/>
          <w:spacing w:val="-3"/>
          <w:sz w:val="22"/>
          <w:szCs w:val="22"/>
        </w:rPr>
        <w:t>cuando el volumen anual de las operaciones efectuadas con el proveedor es inferior a los 50.000€. En estos casos se trata en la mayoría de los casos de proveedores esporádicos de productos o servicios, por lo que no se realiza una evaluación o seguimiento exhaustivo de los mismos.</w:t>
      </w:r>
    </w:p>
    <w:p w14:paraId="5C34B30D" w14:textId="77777777" w:rsidR="00E42F25" w:rsidRPr="00C25419" w:rsidRDefault="00E42F25" w:rsidP="00E42F2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</w:p>
    <w:p w14:paraId="6CC5E026" w14:textId="77777777" w:rsidR="00E42F25" w:rsidRPr="00C25419" w:rsidRDefault="00E42F25" w:rsidP="00E42F2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Tahoma"/>
          <w:spacing w:val="-3"/>
          <w:sz w:val="22"/>
          <w:szCs w:val="22"/>
        </w:rPr>
      </w:pPr>
      <w:r w:rsidRPr="00C25419">
        <w:rPr>
          <w:rFonts w:ascii="Calibri" w:hAnsi="Calibri" w:cs="Tahoma"/>
          <w:spacing w:val="-3"/>
          <w:sz w:val="22"/>
          <w:szCs w:val="22"/>
        </w:rPr>
        <w:sym w:font="Wingdings" w:char="F0F0"/>
      </w:r>
      <w:r w:rsidRPr="00C25419">
        <w:rPr>
          <w:rFonts w:ascii="Calibri" w:hAnsi="Calibri" w:cs="Tahoma"/>
          <w:spacing w:val="-3"/>
          <w:sz w:val="22"/>
          <w:szCs w:val="22"/>
        </w:rPr>
        <w:t xml:space="preserve"> </w:t>
      </w:r>
      <w:r w:rsidRPr="00C25419">
        <w:rPr>
          <w:rFonts w:ascii="Calibri" w:hAnsi="Calibri" w:cs="Tahoma"/>
          <w:i/>
          <w:spacing w:val="-3"/>
          <w:sz w:val="22"/>
          <w:szCs w:val="22"/>
        </w:rPr>
        <w:t>Grado de confianza que ofrece el proveedor</w:t>
      </w:r>
      <w:r w:rsidRPr="00C25419">
        <w:rPr>
          <w:rFonts w:ascii="Calibri" w:hAnsi="Calibri" w:cs="Tahoma"/>
          <w:spacing w:val="-3"/>
          <w:sz w:val="22"/>
          <w:szCs w:val="22"/>
        </w:rPr>
        <w:t>. El Departame</w:t>
      </w:r>
      <w:r>
        <w:rPr>
          <w:rFonts w:ascii="Calibri" w:hAnsi="Calibri" w:cs="Tahoma"/>
          <w:spacing w:val="-3"/>
          <w:sz w:val="22"/>
          <w:szCs w:val="22"/>
        </w:rPr>
        <w:t>nto de Calidad y Medio Ambiente</w:t>
      </w:r>
      <w:r w:rsidRPr="00C25419">
        <w:rPr>
          <w:rFonts w:ascii="Calibri" w:hAnsi="Calibri" w:cs="Tahoma"/>
          <w:spacing w:val="-3"/>
          <w:sz w:val="22"/>
          <w:szCs w:val="22"/>
        </w:rPr>
        <w:t xml:space="preserve"> considerará </w:t>
      </w:r>
      <w:r>
        <w:rPr>
          <w:rFonts w:ascii="Calibri" w:hAnsi="Calibri" w:cs="Tahoma"/>
          <w:spacing w:val="-3"/>
          <w:sz w:val="22"/>
          <w:szCs w:val="22"/>
        </w:rPr>
        <w:t xml:space="preserve">también relevantes </w:t>
      </w:r>
      <w:proofErr w:type="spellStart"/>
      <w:r>
        <w:rPr>
          <w:rFonts w:ascii="Calibri" w:hAnsi="Calibri" w:cs="Tahoma"/>
          <w:spacing w:val="-3"/>
          <w:sz w:val="22"/>
          <w:szCs w:val="22"/>
        </w:rPr>
        <w:t>laS</w:t>
      </w:r>
      <w:proofErr w:type="spellEnd"/>
      <w:r>
        <w:rPr>
          <w:rFonts w:ascii="Calibri" w:hAnsi="Calibri" w:cs="Tahoma"/>
          <w:spacing w:val="-3"/>
          <w:sz w:val="22"/>
          <w:szCs w:val="22"/>
        </w:rPr>
        <w:t xml:space="preserve"> C</w:t>
      </w:r>
      <w:r w:rsidRPr="00C25419">
        <w:rPr>
          <w:rFonts w:ascii="Calibri" w:hAnsi="Calibri" w:cs="Tahoma"/>
          <w:spacing w:val="-3"/>
          <w:sz w:val="22"/>
          <w:szCs w:val="22"/>
        </w:rPr>
        <w:t>ertificacion</w:t>
      </w:r>
      <w:r>
        <w:rPr>
          <w:rFonts w:ascii="Calibri" w:hAnsi="Calibri" w:cs="Tahoma"/>
          <w:spacing w:val="-3"/>
          <w:sz w:val="22"/>
          <w:szCs w:val="22"/>
        </w:rPr>
        <w:t>es de</w:t>
      </w:r>
      <w:r w:rsidRPr="00C25419">
        <w:rPr>
          <w:rFonts w:ascii="Calibri" w:hAnsi="Calibri" w:cs="Tahoma"/>
          <w:spacing w:val="-3"/>
          <w:sz w:val="22"/>
          <w:szCs w:val="22"/>
        </w:rPr>
        <w:t xml:space="preserve"> Calidad y</w:t>
      </w:r>
      <w:r>
        <w:rPr>
          <w:rFonts w:ascii="Calibri" w:hAnsi="Calibri" w:cs="Tahoma"/>
          <w:spacing w:val="-3"/>
          <w:sz w:val="22"/>
          <w:szCs w:val="22"/>
        </w:rPr>
        <w:t>/o</w:t>
      </w:r>
      <w:r w:rsidRPr="00C25419">
        <w:rPr>
          <w:rFonts w:ascii="Calibri" w:hAnsi="Calibri" w:cs="Tahoma"/>
          <w:spacing w:val="-3"/>
          <w:sz w:val="22"/>
          <w:szCs w:val="22"/>
        </w:rPr>
        <w:t xml:space="preserve"> Medio Ambiente (ISO 9001, 14001, EMAS, EFQM, </w:t>
      </w:r>
      <w:r>
        <w:rPr>
          <w:rFonts w:ascii="Calibri" w:hAnsi="Calibri" w:cs="Tahoma"/>
          <w:spacing w:val="-3"/>
          <w:sz w:val="22"/>
          <w:szCs w:val="22"/>
        </w:rPr>
        <w:t xml:space="preserve">referencias, precio, </w:t>
      </w:r>
      <w:r w:rsidRPr="00C25419">
        <w:rPr>
          <w:rFonts w:ascii="Calibri" w:hAnsi="Calibri" w:cs="Tahoma"/>
          <w:spacing w:val="-3"/>
          <w:sz w:val="22"/>
          <w:szCs w:val="22"/>
        </w:rPr>
        <w:t xml:space="preserve">etc.) </w:t>
      </w:r>
      <w:r>
        <w:rPr>
          <w:rFonts w:ascii="Calibri" w:hAnsi="Calibri" w:cs="Tahoma"/>
          <w:spacing w:val="-3"/>
          <w:sz w:val="22"/>
          <w:szCs w:val="22"/>
        </w:rPr>
        <w:t xml:space="preserve">de cada proveedor, </w:t>
      </w:r>
      <w:r w:rsidRPr="00C25419">
        <w:rPr>
          <w:rFonts w:ascii="Calibri" w:hAnsi="Calibri" w:cs="Tahoma"/>
          <w:spacing w:val="-3"/>
          <w:sz w:val="22"/>
          <w:szCs w:val="22"/>
        </w:rPr>
        <w:t>en tanto que supone una garantía mínima de que cuenta con una serie de procedimientos para el seguimiento y control de su actividad y producción.</w:t>
      </w:r>
    </w:p>
    <w:p w14:paraId="7E34F741" w14:textId="09CAE3CD" w:rsidR="00E42F25" w:rsidRDefault="00E42F25" w:rsidP="00E42F25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Calibri" w:hAnsi="Calibri" w:cs="Tahoma"/>
          <w:spacing w:val="-3"/>
          <w:sz w:val="22"/>
          <w:szCs w:val="22"/>
        </w:rPr>
      </w:pPr>
    </w:p>
    <w:p w14:paraId="4791F588" w14:textId="458535E0" w:rsidR="00E42F25" w:rsidRDefault="00E42F25" w:rsidP="00E42F25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Calibri" w:hAnsi="Calibri" w:cs="Tahoma"/>
          <w:spacing w:val="-3"/>
          <w:sz w:val="22"/>
          <w:szCs w:val="22"/>
        </w:rPr>
      </w:pPr>
    </w:p>
    <w:p w14:paraId="2270B98E" w14:textId="598B34A2" w:rsidR="00E42F25" w:rsidRDefault="00E42F25" w:rsidP="00E42F25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Calibri" w:hAnsi="Calibri" w:cs="Tahoma"/>
          <w:spacing w:val="-3"/>
          <w:sz w:val="22"/>
          <w:szCs w:val="22"/>
        </w:rPr>
      </w:pPr>
    </w:p>
    <w:p w14:paraId="4C6EFF98" w14:textId="595054C4" w:rsidR="00E42F25" w:rsidRDefault="00E42F25" w:rsidP="00E42F25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Calibri" w:hAnsi="Calibri" w:cs="Tahoma"/>
          <w:spacing w:val="-3"/>
          <w:sz w:val="22"/>
          <w:szCs w:val="22"/>
        </w:rPr>
      </w:pPr>
    </w:p>
    <w:p w14:paraId="79D0C847" w14:textId="59A04D45" w:rsidR="00E42F25" w:rsidRDefault="00E42F25" w:rsidP="00E42F25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Calibri" w:hAnsi="Calibri" w:cs="Tahoma"/>
          <w:spacing w:val="-3"/>
          <w:sz w:val="22"/>
          <w:szCs w:val="22"/>
        </w:rPr>
      </w:pPr>
    </w:p>
    <w:p w14:paraId="75C1251B" w14:textId="77777777" w:rsidR="00E42F25" w:rsidRPr="00C25419" w:rsidRDefault="00E42F25" w:rsidP="00E42F25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Calibri" w:hAnsi="Calibri" w:cs="Tahoma"/>
          <w:spacing w:val="-3"/>
          <w:sz w:val="22"/>
          <w:szCs w:val="22"/>
        </w:rPr>
      </w:pPr>
    </w:p>
    <w:p w14:paraId="50FE76B8" w14:textId="434A05BC" w:rsidR="00E42F25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  <w:r w:rsidRPr="00C25419">
        <w:rPr>
          <w:rFonts w:ascii="Calibri" w:hAnsi="Calibri" w:cs="Tahoma"/>
          <w:szCs w:val="22"/>
        </w:rPr>
        <w:lastRenderedPageBreak/>
        <w:t xml:space="preserve">El resultado de la evaluación de proveedores y subcontratistas queda reflejado en </w:t>
      </w:r>
      <w:r>
        <w:rPr>
          <w:rFonts w:ascii="Calibri" w:hAnsi="Calibri" w:cs="Tahoma"/>
          <w:szCs w:val="22"/>
        </w:rPr>
        <w:t xml:space="preserve">el </w:t>
      </w:r>
      <w:r w:rsidRPr="0071546A">
        <w:rPr>
          <w:rFonts w:ascii="Calibri" w:hAnsi="Calibri" w:cs="Tahoma"/>
          <w:b/>
          <w:szCs w:val="22"/>
        </w:rPr>
        <w:t>Listado de Evaluación de Proveedores / Subcontratistas</w:t>
      </w:r>
      <w:r>
        <w:rPr>
          <w:rFonts w:ascii="Calibri" w:hAnsi="Calibri" w:cs="Tahoma"/>
          <w:szCs w:val="22"/>
        </w:rPr>
        <w:t xml:space="preserve">. </w:t>
      </w:r>
      <w:r w:rsidRPr="00C25419">
        <w:rPr>
          <w:rFonts w:ascii="Calibri" w:hAnsi="Calibri" w:cs="Tahoma"/>
          <w:szCs w:val="22"/>
        </w:rPr>
        <w:t>Est</w:t>
      </w:r>
      <w:r>
        <w:rPr>
          <w:rFonts w:ascii="Calibri" w:hAnsi="Calibri" w:cs="Tahoma"/>
          <w:szCs w:val="22"/>
        </w:rPr>
        <w:t xml:space="preserve">e Listado se renovará cada año </w:t>
      </w:r>
      <w:r w:rsidRPr="00C25419">
        <w:rPr>
          <w:rFonts w:ascii="Calibri" w:hAnsi="Calibri" w:cs="Tahoma"/>
          <w:szCs w:val="22"/>
        </w:rPr>
        <w:t xml:space="preserve">tras </w:t>
      </w:r>
      <w:r>
        <w:rPr>
          <w:rFonts w:ascii="Calibri" w:hAnsi="Calibri" w:cs="Tahoma"/>
          <w:szCs w:val="22"/>
        </w:rPr>
        <w:t>la</w:t>
      </w:r>
      <w:r w:rsidRPr="00C25419">
        <w:rPr>
          <w:rFonts w:ascii="Calibri" w:hAnsi="Calibri" w:cs="Tahoma"/>
          <w:szCs w:val="22"/>
        </w:rPr>
        <w:t xml:space="preserve"> reevaluación</w:t>
      </w:r>
      <w:r>
        <w:rPr>
          <w:rFonts w:ascii="Calibri" w:hAnsi="Calibri" w:cs="Tahoma"/>
          <w:szCs w:val="22"/>
        </w:rPr>
        <w:t xml:space="preserve"> continua</w:t>
      </w:r>
      <w:r w:rsidRPr="00C25419">
        <w:rPr>
          <w:rFonts w:ascii="Calibri" w:hAnsi="Calibri" w:cs="Tahoma"/>
          <w:szCs w:val="22"/>
        </w:rPr>
        <w:t>.</w:t>
      </w:r>
    </w:p>
    <w:p w14:paraId="4D1D3F4B" w14:textId="77777777" w:rsidR="00E42F25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</w:p>
    <w:p w14:paraId="761200E7" w14:textId="77777777" w:rsidR="00E42F25" w:rsidRDefault="00E42F25" w:rsidP="00E42F25">
      <w:pPr>
        <w:pStyle w:val="Textoindependiente2"/>
        <w:spacing w:before="0" w:after="0" w:line="276" w:lineRule="auto"/>
        <w:rPr>
          <w:rFonts w:ascii="Calibri" w:hAnsi="Calibri"/>
          <w:szCs w:val="22"/>
        </w:rPr>
      </w:pPr>
      <w:r>
        <w:rPr>
          <w:rFonts w:ascii="Calibri" w:hAnsi="Calibri" w:cs="Tahoma"/>
          <w:szCs w:val="22"/>
        </w:rPr>
        <w:t>El</w:t>
      </w:r>
      <w:r w:rsidRPr="00C25419">
        <w:rPr>
          <w:rFonts w:ascii="Calibri" w:hAnsi="Calibri" w:cs="Tahoma"/>
          <w:szCs w:val="22"/>
        </w:rPr>
        <w:t xml:space="preserve"> </w:t>
      </w:r>
      <w:proofErr w:type="gramStart"/>
      <w:r w:rsidRPr="00C25419">
        <w:rPr>
          <w:rFonts w:ascii="Calibri" w:hAnsi="Calibri" w:cs="Tahoma"/>
          <w:szCs w:val="22"/>
        </w:rPr>
        <w:t>Responsable</w:t>
      </w:r>
      <w:proofErr w:type="gramEnd"/>
      <w:r w:rsidRPr="00C25419">
        <w:rPr>
          <w:rFonts w:ascii="Calibri" w:hAnsi="Calibri" w:cs="Tahoma"/>
          <w:szCs w:val="22"/>
        </w:rPr>
        <w:t xml:space="preserve"> de Calidad y Medio Ambiente </w:t>
      </w:r>
      <w:r>
        <w:rPr>
          <w:rFonts w:ascii="Calibri" w:hAnsi="Calibri" w:cs="Tahoma"/>
          <w:szCs w:val="22"/>
        </w:rPr>
        <w:t xml:space="preserve">es el </w:t>
      </w:r>
      <w:r w:rsidRPr="00C25419">
        <w:rPr>
          <w:rFonts w:ascii="Calibri" w:hAnsi="Calibri" w:cs="Tahoma"/>
          <w:szCs w:val="22"/>
        </w:rPr>
        <w:t xml:space="preserve">encargado de comunicar a </w:t>
      </w:r>
      <w:r>
        <w:rPr>
          <w:rFonts w:ascii="Calibri" w:hAnsi="Calibri" w:cs="Tahoma"/>
          <w:szCs w:val="22"/>
        </w:rPr>
        <w:t>los</w:t>
      </w:r>
      <w:r w:rsidRPr="00C25419">
        <w:rPr>
          <w:rFonts w:ascii="Calibri" w:hAnsi="Calibri" w:cs="Tahoma"/>
          <w:szCs w:val="22"/>
        </w:rPr>
        <w:t xml:space="preserve"> proveedores y subcontratistas la</w:t>
      </w:r>
      <w:r>
        <w:rPr>
          <w:rFonts w:ascii="Calibri" w:hAnsi="Calibri" w:cs="Tahoma"/>
          <w:szCs w:val="22"/>
        </w:rPr>
        <w:t>s</w:t>
      </w:r>
      <w:r w:rsidRPr="00C25419">
        <w:rPr>
          <w:rFonts w:ascii="Calibri" w:hAnsi="Calibri" w:cs="Tahoma"/>
          <w:szCs w:val="22"/>
        </w:rPr>
        <w:t xml:space="preserve"> Política</w:t>
      </w:r>
      <w:r>
        <w:rPr>
          <w:rFonts w:ascii="Calibri" w:hAnsi="Calibri" w:cs="Tahoma"/>
          <w:szCs w:val="22"/>
        </w:rPr>
        <w:t>s</w:t>
      </w:r>
      <w:r w:rsidRPr="00C25419">
        <w:rPr>
          <w:rFonts w:ascii="Calibri" w:hAnsi="Calibri" w:cs="Tahoma"/>
          <w:szCs w:val="22"/>
        </w:rPr>
        <w:t xml:space="preserve"> de </w:t>
      </w:r>
      <w:r>
        <w:rPr>
          <w:rFonts w:ascii="Calibri" w:hAnsi="Calibri" w:cs="Tahoma"/>
          <w:szCs w:val="22"/>
        </w:rPr>
        <w:t>C</w:t>
      </w:r>
      <w:r w:rsidRPr="00C25419">
        <w:rPr>
          <w:rFonts w:ascii="Calibri" w:hAnsi="Calibri" w:cs="Tahoma"/>
          <w:szCs w:val="22"/>
        </w:rPr>
        <w:t xml:space="preserve">alidad y </w:t>
      </w:r>
      <w:r>
        <w:rPr>
          <w:rFonts w:ascii="Calibri" w:hAnsi="Calibri" w:cs="Tahoma"/>
          <w:szCs w:val="22"/>
        </w:rPr>
        <w:t>M</w:t>
      </w:r>
      <w:r w:rsidRPr="00C25419">
        <w:rPr>
          <w:rFonts w:ascii="Calibri" w:hAnsi="Calibri" w:cs="Tahoma"/>
          <w:szCs w:val="22"/>
        </w:rPr>
        <w:t xml:space="preserve">edio </w:t>
      </w:r>
      <w:r>
        <w:rPr>
          <w:rFonts w:ascii="Calibri" w:hAnsi="Calibri" w:cs="Tahoma"/>
          <w:szCs w:val="22"/>
        </w:rPr>
        <w:t>A</w:t>
      </w:r>
      <w:r w:rsidRPr="00C25419">
        <w:rPr>
          <w:rFonts w:ascii="Calibri" w:hAnsi="Calibri" w:cs="Tahoma"/>
          <w:szCs w:val="22"/>
        </w:rPr>
        <w:t xml:space="preserve">mbiente de </w:t>
      </w:r>
      <w:r>
        <w:rPr>
          <w:rFonts w:ascii="Calibri" w:hAnsi="Calibri" w:cs="Tahoma"/>
          <w:b/>
          <w:szCs w:val="22"/>
        </w:rPr>
        <w:t>GRUPO CRAMBO</w:t>
      </w:r>
      <w:r w:rsidRPr="00C25419">
        <w:rPr>
          <w:rFonts w:ascii="Calibri" w:hAnsi="Calibri" w:cs="Tahoma"/>
          <w:szCs w:val="22"/>
        </w:rPr>
        <w:t xml:space="preserve">, </w:t>
      </w:r>
      <w:r w:rsidRPr="00C25419">
        <w:rPr>
          <w:rFonts w:ascii="Calibri" w:hAnsi="Calibri" w:cs="Tahoma"/>
          <w:spacing w:val="-3"/>
          <w:szCs w:val="22"/>
        </w:rPr>
        <w:t xml:space="preserve">así como </w:t>
      </w:r>
      <w:r>
        <w:rPr>
          <w:rFonts w:ascii="Calibri" w:hAnsi="Calibri" w:cs="Tahoma"/>
          <w:spacing w:val="-3"/>
          <w:szCs w:val="22"/>
        </w:rPr>
        <w:t>el procedimiento de evaluación que vamos a llevar a cabo, los requisitos ambientales, buenas prácticas y planes de emergencia</w:t>
      </w:r>
      <w:r w:rsidRPr="00C25419">
        <w:rPr>
          <w:rFonts w:ascii="Calibri" w:hAnsi="Calibri"/>
          <w:szCs w:val="22"/>
        </w:rPr>
        <w:t>.</w:t>
      </w:r>
    </w:p>
    <w:p w14:paraId="2BB983E6" w14:textId="77777777" w:rsidR="00E42F25" w:rsidRDefault="00E42F25" w:rsidP="00E42F25">
      <w:pPr>
        <w:pStyle w:val="Textoindependiente2"/>
        <w:spacing w:before="0" w:after="0" w:line="276" w:lineRule="auto"/>
        <w:rPr>
          <w:rFonts w:ascii="Calibri" w:hAnsi="Calibri"/>
          <w:szCs w:val="22"/>
        </w:rPr>
      </w:pPr>
    </w:p>
    <w:p w14:paraId="0705CA47" w14:textId="77777777" w:rsidR="00E42F25" w:rsidRPr="00D45D29" w:rsidRDefault="00E42F25" w:rsidP="00E42F25">
      <w:pPr>
        <w:suppressAutoHyphens/>
        <w:spacing w:line="276" w:lineRule="auto"/>
        <w:jc w:val="both"/>
        <w:rPr>
          <w:rFonts w:ascii="Calibri" w:hAnsi="Calibri" w:cs="Tahoma"/>
          <w:b/>
          <w:i/>
          <w:sz w:val="22"/>
          <w:szCs w:val="22"/>
        </w:rPr>
      </w:pPr>
      <w:r w:rsidRPr="00D45D29">
        <w:rPr>
          <w:rFonts w:ascii="Calibri" w:hAnsi="Calibri" w:cs="Tahoma"/>
          <w:i/>
          <w:sz w:val="22"/>
          <w:szCs w:val="22"/>
          <w:u w:val="single"/>
        </w:rPr>
        <w:t>3.3.1. Reevaluación de Proveedores Calificados</w:t>
      </w:r>
    </w:p>
    <w:p w14:paraId="042DB05B" w14:textId="77777777" w:rsidR="00E42F25" w:rsidRPr="00D45D29" w:rsidRDefault="00E42F25" w:rsidP="00E42F25">
      <w:pPr>
        <w:pStyle w:val="Documento1"/>
        <w:keepNext w:val="0"/>
        <w:keepLines w:val="0"/>
        <w:tabs>
          <w:tab w:val="clear" w:pos="-720"/>
          <w:tab w:val="left" w:pos="567"/>
          <w:tab w:val="right" w:pos="8505"/>
        </w:tabs>
        <w:suppressAutoHyphens w:val="0"/>
        <w:spacing w:line="276" w:lineRule="auto"/>
        <w:jc w:val="both"/>
        <w:rPr>
          <w:rFonts w:ascii="Calibri" w:hAnsi="Calibri" w:cs="Tahoma"/>
          <w:sz w:val="22"/>
          <w:szCs w:val="22"/>
          <w:lang w:val="es-ES_tradnl"/>
        </w:rPr>
      </w:pPr>
    </w:p>
    <w:p w14:paraId="67D34D20" w14:textId="77777777" w:rsidR="00E42F25" w:rsidRPr="00D44D4D" w:rsidRDefault="00E42F25" w:rsidP="00E42F25">
      <w:pPr>
        <w:rPr>
          <w:rFonts w:ascii="Calibri" w:hAnsi="Calibri" w:cs="Tahoma"/>
          <w:sz w:val="22"/>
          <w:szCs w:val="22"/>
        </w:rPr>
      </w:pPr>
      <w:r w:rsidRPr="00D44D4D">
        <w:rPr>
          <w:rFonts w:ascii="Calibri" w:hAnsi="Calibri" w:cs="Tahoma"/>
          <w:sz w:val="22"/>
          <w:szCs w:val="22"/>
        </w:rPr>
        <w:t xml:space="preserve">El </w:t>
      </w:r>
      <w:proofErr w:type="gramStart"/>
      <w:r w:rsidRPr="00D44D4D">
        <w:rPr>
          <w:rFonts w:ascii="Calibri" w:hAnsi="Calibri" w:cs="Tahoma"/>
          <w:sz w:val="22"/>
          <w:szCs w:val="22"/>
        </w:rPr>
        <w:t>Responsable</w:t>
      </w:r>
      <w:proofErr w:type="gramEnd"/>
      <w:r w:rsidRPr="00D44D4D">
        <w:rPr>
          <w:rFonts w:ascii="Calibri" w:hAnsi="Calibri" w:cs="Tahoma"/>
          <w:sz w:val="22"/>
          <w:szCs w:val="22"/>
        </w:rPr>
        <w:t xml:space="preserve"> de Calidad y Medio Ambiente asigna un nivel de clasificación inicial a cada proveedor de acuerdo a la siguiente clasificación:</w:t>
      </w:r>
    </w:p>
    <w:p w14:paraId="3042BC10" w14:textId="77777777" w:rsidR="00E42F25" w:rsidRPr="00B87AA5" w:rsidRDefault="00E42F25" w:rsidP="00E42F25">
      <w:pPr>
        <w:rPr>
          <w:rFonts w:asciiTheme="minorHAnsi" w:hAnsiTheme="minorHAnsi" w:cs="Arial"/>
          <w:szCs w:val="22"/>
        </w:rPr>
      </w:pPr>
    </w:p>
    <w:p w14:paraId="0B3579D2" w14:textId="77777777" w:rsidR="00E42F25" w:rsidRPr="00D44D4D" w:rsidRDefault="00E42F25" w:rsidP="00E42F25">
      <w:pPr>
        <w:pStyle w:val="Textoindependiente2"/>
        <w:numPr>
          <w:ilvl w:val="0"/>
          <w:numId w:val="3"/>
        </w:numPr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>A: Proveedor sin incidencias</w:t>
      </w:r>
    </w:p>
    <w:p w14:paraId="1D8F361F" w14:textId="77777777" w:rsidR="00E42F25" w:rsidRPr="00D44D4D" w:rsidRDefault="00E42F25" w:rsidP="00E42F25">
      <w:pPr>
        <w:pStyle w:val="Textoindependiente2"/>
        <w:numPr>
          <w:ilvl w:val="0"/>
          <w:numId w:val="3"/>
        </w:numPr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 xml:space="preserve">B: Proveedor con incidencias </w:t>
      </w:r>
    </w:p>
    <w:p w14:paraId="1A1C0C05" w14:textId="77777777" w:rsidR="00E42F25" w:rsidRPr="00B87AA5" w:rsidRDefault="00E42F25" w:rsidP="00E42F25">
      <w:pPr>
        <w:rPr>
          <w:rFonts w:asciiTheme="minorHAnsi" w:hAnsiTheme="minorHAnsi" w:cs="Arial"/>
          <w:szCs w:val="22"/>
        </w:rPr>
      </w:pPr>
    </w:p>
    <w:p w14:paraId="4105DD9B" w14:textId="77777777" w:rsidR="00E42F25" w:rsidRPr="00D44D4D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 xml:space="preserve">El </w:t>
      </w:r>
      <w:proofErr w:type="gramStart"/>
      <w:r w:rsidRPr="00D44D4D">
        <w:rPr>
          <w:rFonts w:ascii="Calibri" w:hAnsi="Calibri" w:cs="Tahoma"/>
          <w:szCs w:val="22"/>
        </w:rPr>
        <w:t>Responsable</w:t>
      </w:r>
      <w:proofErr w:type="gramEnd"/>
      <w:r w:rsidRPr="00D44D4D">
        <w:rPr>
          <w:rFonts w:ascii="Calibri" w:hAnsi="Calibri" w:cs="Tahoma"/>
          <w:szCs w:val="22"/>
        </w:rPr>
        <w:t xml:space="preserve"> de Calidad y Medio Ambiente elabora una lista en la que incluye todos los proveedores homologados con su nivel de clasificación asignado. El </w:t>
      </w:r>
      <w:proofErr w:type="gramStart"/>
      <w:r w:rsidRPr="00D44D4D">
        <w:rPr>
          <w:rFonts w:ascii="Calibri" w:hAnsi="Calibri" w:cs="Tahoma"/>
          <w:szCs w:val="22"/>
        </w:rPr>
        <w:t>Responsable</w:t>
      </w:r>
      <w:proofErr w:type="gramEnd"/>
      <w:r w:rsidRPr="00D44D4D">
        <w:rPr>
          <w:rFonts w:ascii="Calibri" w:hAnsi="Calibri" w:cs="Tahoma"/>
          <w:szCs w:val="22"/>
        </w:rPr>
        <w:t xml:space="preserve"> de Calidad y Medio Ambiente realiza un seguimiento continuo de cada uno de los proveedores que han sido homologados. Utiliza el número de Informes de No Conformidad, Reclamaciones de cliente o Acciones Correctivas generadas por ese proveedor.</w:t>
      </w:r>
    </w:p>
    <w:p w14:paraId="19134938" w14:textId="77777777" w:rsidR="00E42F25" w:rsidRPr="00D44D4D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ab/>
      </w:r>
    </w:p>
    <w:p w14:paraId="13ECAEE1" w14:textId="77777777" w:rsidR="00E42F25" w:rsidRPr="00D44D4D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 xml:space="preserve">En función de la aparición o no de incidencias registradas y el grado de importancia de </w:t>
      </w:r>
      <w:proofErr w:type="gramStart"/>
      <w:r w:rsidRPr="00D44D4D">
        <w:rPr>
          <w:rFonts w:ascii="Calibri" w:hAnsi="Calibri" w:cs="Tahoma"/>
          <w:szCs w:val="22"/>
        </w:rPr>
        <w:t>las mismas</w:t>
      </w:r>
      <w:proofErr w:type="gramEnd"/>
      <w:r w:rsidRPr="00D44D4D">
        <w:rPr>
          <w:rFonts w:ascii="Calibri" w:hAnsi="Calibri" w:cs="Tahoma"/>
          <w:szCs w:val="22"/>
        </w:rPr>
        <w:t>, se reevalúa anualmente a todos los proveedores asignándoles, si es necesario, una nueva categoría.</w:t>
      </w:r>
    </w:p>
    <w:p w14:paraId="79FDB6CA" w14:textId="77777777" w:rsidR="00E42F25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</w:p>
    <w:p w14:paraId="084953D1" w14:textId="77777777" w:rsidR="00E42F25" w:rsidRPr="00D44D4D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</w:p>
    <w:p w14:paraId="00212BA8" w14:textId="77777777" w:rsidR="00E42F25" w:rsidRPr="00D44D4D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  <w:bookmarkStart w:id="0" w:name="_Toc248551778"/>
      <w:bookmarkStart w:id="1" w:name="_Toc248551847"/>
      <w:r w:rsidRPr="00D44D4D">
        <w:rPr>
          <w:rFonts w:ascii="Calibri" w:hAnsi="Calibri" w:cs="Tahoma"/>
          <w:szCs w:val="22"/>
        </w:rPr>
        <w:t xml:space="preserve">3.3.2 </w:t>
      </w:r>
      <w:proofErr w:type="spellStart"/>
      <w:r w:rsidRPr="00D44D4D">
        <w:rPr>
          <w:rFonts w:ascii="Calibri" w:hAnsi="Calibri" w:cs="Tahoma"/>
          <w:szCs w:val="22"/>
        </w:rPr>
        <w:t>Deshomologación</w:t>
      </w:r>
      <w:proofErr w:type="spellEnd"/>
      <w:r w:rsidRPr="00D44D4D">
        <w:rPr>
          <w:rFonts w:ascii="Calibri" w:hAnsi="Calibri" w:cs="Tahoma"/>
          <w:szCs w:val="22"/>
        </w:rPr>
        <w:t xml:space="preserve"> de proveedores</w:t>
      </w:r>
      <w:bookmarkEnd w:id="0"/>
      <w:bookmarkEnd w:id="1"/>
      <w:r w:rsidRPr="00D44D4D">
        <w:rPr>
          <w:rFonts w:ascii="Calibri" w:hAnsi="Calibri" w:cs="Tahoma"/>
          <w:szCs w:val="22"/>
        </w:rPr>
        <w:fldChar w:fldCharType="begin"/>
      </w:r>
      <w:r w:rsidRPr="00D44D4D">
        <w:rPr>
          <w:rFonts w:ascii="Calibri" w:hAnsi="Calibri" w:cs="Tahoma"/>
          <w:szCs w:val="22"/>
        </w:rPr>
        <w:instrText xml:space="preserve"> XE "3.1.5 Deshomologación de proveedores" </w:instrText>
      </w:r>
      <w:r w:rsidRPr="00D44D4D">
        <w:rPr>
          <w:rFonts w:ascii="Calibri" w:hAnsi="Calibri" w:cs="Tahoma"/>
          <w:szCs w:val="22"/>
        </w:rPr>
        <w:fldChar w:fldCharType="end"/>
      </w:r>
    </w:p>
    <w:p w14:paraId="13947E63" w14:textId="77777777" w:rsidR="00E42F25" w:rsidRPr="00D44D4D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</w:p>
    <w:p w14:paraId="42C151D7" w14:textId="77777777" w:rsidR="00E42F25" w:rsidRPr="00D44D4D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 xml:space="preserve">Se </w:t>
      </w:r>
      <w:proofErr w:type="spellStart"/>
      <w:r w:rsidRPr="00D44D4D">
        <w:rPr>
          <w:rFonts w:ascii="Calibri" w:hAnsi="Calibri" w:cs="Tahoma"/>
          <w:szCs w:val="22"/>
        </w:rPr>
        <w:t>deshomologarán</w:t>
      </w:r>
      <w:proofErr w:type="spellEnd"/>
      <w:r w:rsidRPr="00D44D4D">
        <w:rPr>
          <w:rFonts w:ascii="Calibri" w:hAnsi="Calibri" w:cs="Tahoma"/>
          <w:szCs w:val="22"/>
        </w:rPr>
        <w:t>:</w:t>
      </w:r>
    </w:p>
    <w:p w14:paraId="0D6D7DF5" w14:textId="77777777" w:rsidR="00E42F25" w:rsidRPr="00D44D4D" w:rsidRDefault="00E42F25" w:rsidP="00E42F25">
      <w:pPr>
        <w:pStyle w:val="Textoindependiente2"/>
        <w:spacing w:before="0" w:after="0" w:line="276" w:lineRule="auto"/>
        <w:rPr>
          <w:rFonts w:ascii="Calibri" w:hAnsi="Calibri" w:cs="Tahoma"/>
          <w:szCs w:val="22"/>
        </w:rPr>
      </w:pPr>
    </w:p>
    <w:p w14:paraId="3C85C552" w14:textId="77777777" w:rsidR="00E42F25" w:rsidRPr="00D44D4D" w:rsidRDefault="00E42F25" w:rsidP="00E42F25">
      <w:pPr>
        <w:pStyle w:val="Textoindependiente2"/>
        <w:numPr>
          <w:ilvl w:val="0"/>
          <w:numId w:val="3"/>
        </w:numPr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>Aquellos proveedores con los que se haya entrado en litigio vía judicial.</w:t>
      </w:r>
    </w:p>
    <w:p w14:paraId="72EF9FCC" w14:textId="77777777" w:rsidR="00E42F25" w:rsidRPr="00D44D4D" w:rsidRDefault="00E42F25" w:rsidP="00E42F25">
      <w:pPr>
        <w:pStyle w:val="Textoindependiente2"/>
        <w:numPr>
          <w:ilvl w:val="0"/>
          <w:numId w:val="3"/>
        </w:numPr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>Los que el informe económico detecte una posibilidad de no suministro.</w:t>
      </w:r>
    </w:p>
    <w:p w14:paraId="6DD23A1C" w14:textId="77777777" w:rsidR="00E42F25" w:rsidRDefault="00E42F25" w:rsidP="00E42F25">
      <w:pPr>
        <w:pStyle w:val="Textoindependiente2"/>
        <w:numPr>
          <w:ilvl w:val="0"/>
          <w:numId w:val="3"/>
        </w:numPr>
        <w:spacing w:before="0" w:after="0" w:line="276" w:lineRule="auto"/>
        <w:rPr>
          <w:rFonts w:ascii="Calibri" w:hAnsi="Calibri" w:cs="Tahoma"/>
          <w:szCs w:val="22"/>
        </w:rPr>
      </w:pPr>
      <w:r w:rsidRPr="00D44D4D">
        <w:rPr>
          <w:rFonts w:ascii="Calibri" w:hAnsi="Calibri" w:cs="Tahoma"/>
          <w:szCs w:val="22"/>
        </w:rPr>
        <w:t>Aquellos que tengan más de una incidencia en el servicio prestado en el plazo de 1 año.</w:t>
      </w:r>
    </w:p>
    <w:p w14:paraId="08D10C17" w14:textId="77777777" w:rsidR="009D7B94" w:rsidRDefault="009D7B94"/>
    <w:sectPr w:rsidR="009D7B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87F8" w14:textId="77777777" w:rsidR="00FF54E6" w:rsidRDefault="00FF54E6" w:rsidP="00E42F25">
      <w:r>
        <w:separator/>
      </w:r>
    </w:p>
  </w:endnote>
  <w:endnote w:type="continuationSeparator" w:id="0">
    <w:p w14:paraId="02C9160C" w14:textId="77777777" w:rsidR="00FF54E6" w:rsidRDefault="00FF54E6" w:rsidP="00E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DCB" w14:textId="21BDC21A" w:rsidR="00E42F25" w:rsidRDefault="00E42F25" w:rsidP="00E42F25">
    <w:pPr>
      <w:pStyle w:val="Piedepgina"/>
      <w:jc w:val="right"/>
    </w:pPr>
    <w:r w:rsidRPr="00320085">
      <w:rPr>
        <w:rStyle w:val="Nmerodepgina"/>
        <w:rFonts w:ascii="Calibri" w:hAnsi="Calibri"/>
        <w:sz w:val="18"/>
        <w:szCs w:val="18"/>
      </w:rPr>
      <w:fldChar w:fldCharType="begin"/>
    </w:r>
    <w:r w:rsidRPr="00320085">
      <w:rPr>
        <w:rStyle w:val="Nmerodepgina"/>
        <w:rFonts w:ascii="Calibri" w:hAnsi="Calibri"/>
        <w:sz w:val="18"/>
        <w:szCs w:val="18"/>
      </w:rPr>
      <w:instrText xml:space="preserve"> PAGE </w:instrText>
    </w:r>
    <w:r w:rsidRPr="00320085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sz w:val="18"/>
        <w:szCs w:val="18"/>
      </w:rPr>
      <w:t>5</w:t>
    </w:r>
    <w:r w:rsidRPr="00320085">
      <w:rPr>
        <w:rStyle w:val="Nmerodepgina"/>
        <w:rFonts w:ascii="Calibri" w:hAnsi="Calibri"/>
        <w:sz w:val="18"/>
        <w:szCs w:val="18"/>
      </w:rPr>
      <w:fldChar w:fldCharType="end"/>
    </w:r>
    <w:r w:rsidRPr="00320085">
      <w:rPr>
        <w:rStyle w:val="Nmerodepgina"/>
        <w:rFonts w:ascii="Calibri" w:hAnsi="Calibri"/>
        <w:sz w:val="18"/>
        <w:szCs w:val="18"/>
      </w:rPr>
      <w:t xml:space="preserve"> de </w:t>
    </w:r>
    <w:r w:rsidRPr="00320085">
      <w:rPr>
        <w:rStyle w:val="Nmerodepgina"/>
        <w:rFonts w:ascii="Calibri" w:hAnsi="Calibri"/>
        <w:sz w:val="18"/>
        <w:szCs w:val="18"/>
      </w:rPr>
      <w:fldChar w:fldCharType="begin"/>
    </w:r>
    <w:r w:rsidRPr="00320085">
      <w:rPr>
        <w:rStyle w:val="Nmerodepgina"/>
        <w:rFonts w:ascii="Calibri" w:hAnsi="Calibri"/>
        <w:sz w:val="18"/>
        <w:szCs w:val="18"/>
      </w:rPr>
      <w:instrText xml:space="preserve"> NUMPAGES </w:instrText>
    </w:r>
    <w:r w:rsidRPr="00320085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sz w:val="18"/>
        <w:szCs w:val="18"/>
      </w:rPr>
      <w:t>8</w:t>
    </w:r>
    <w:r w:rsidRPr="00320085">
      <w:rPr>
        <w:rStyle w:val="Nmerodepgina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D707" w14:textId="77777777" w:rsidR="00FF54E6" w:rsidRDefault="00FF54E6" w:rsidP="00E42F25">
      <w:r>
        <w:separator/>
      </w:r>
    </w:p>
  </w:footnote>
  <w:footnote w:type="continuationSeparator" w:id="0">
    <w:p w14:paraId="029B6501" w14:textId="77777777" w:rsidR="00FF54E6" w:rsidRDefault="00FF54E6" w:rsidP="00E4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9"/>
      <w:gridCol w:w="4775"/>
    </w:tblGrid>
    <w:tr w:rsidR="00E17040" w14:paraId="5774E231" w14:textId="5DFCF726" w:rsidTr="00E17040">
      <w:tblPrEx>
        <w:tblCellMar>
          <w:top w:w="0" w:type="dxa"/>
          <w:bottom w:w="0" w:type="dxa"/>
        </w:tblCellMar>
      </w:tblPrEx>
      <w:trPr>
        <w:trHeight w:val="996"/>
        <w:jc w:val="center"/>
      </w:trPr>
      <w:tc>
        <w:tcPr>
          <w:tcW w:w="3770" w:type="dxa"/>
        </w:tcPr>
        <w:p w14:paraId="5AA718F2" w14:textId="24FF551C" w:rsidR="00E17040" w:rsidRDefault="00E17040">
          <w:pPr>
            <w:pStyle w:val="Encabezado"/>
          </w:pPr>
          <w:r>
            <w:rPr>
              <w:noProof/>
            </w:rPr>
            <w:drawing>
              <wp:inline distT="0" distB="0" distL="0" distR="0" wp14:anchorId="7270DE19" wp14:editId="4D69469A">
                <wp:extent cx="2156460" cy="370208"/>
                <wp:effectExtent l="0" t="0" r="0" b="0"/>
                <wp:docPr id="1" name="Imagen 1" descr="cramb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amb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708" cy="37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</w:tcPr>
        <w:p w14:paraId="4CA251BC" w14:textId="19B787C8" w:rsidR="00E17040" w:rsidRDefault="00E17040">
          <w:pPr>
            <w:pStyle w:val="Encabezado"/>
          </w:pPr>
          <w:r>
            <w:rPr>
              <w:rFonts w:ascii="Calibri" w:hAnsi="Calibri" w:cs="Arial"/>
              <w:b/>
              <w:noProof/>
              <w:snapToGrid w:val="0"/>
              <w:sz w:val="22"/>
              <w:szCs w:val="22"/>
            </w:rPr>
            <w:drawing>
              <wp:inline distT="0" distB="0" distL="0" distR="0" wp14:anchorId="33D586B9" wp14:editId="26D8FDA1">
                <wp:extent cx="2854456" cy="594360"/>
                <wp:effectExtent l="0" t="0" r="3175" b="0"/>
                <wp:docPr id="2" name="Imagen 2" descr="Imagen que contiene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317" cy="594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163327" w14:textId="7EABEDEC" w:rsidR="00E42F25" w:rsidRDefault="00E42F25" w:rsidP="00E17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7CC"/>
    <w:multiLevelType w:val="hybridMultilevel"/>
    <w:tmpl w:val="D0BC32B8"/>
    <w:lvl w:ilvl="0" w:tplc="904073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6B8D"/>
    <w:multiLevelType w:val="hybridMultilevel"/>
    <w:tmpl w:val="DBBA29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6F56"/>
    <w:multiLevelType w:val="hybridMultilevel"/>
    <w:tmpl w:val="AEB4B4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926093">
    <w:abstractNumId w:val="1"/>
  </w:num>
  <w:num w:numId="2" w16cid:durableId="833373075">
    <w:abstractNumId w:val="2"/>
  </w:num>
  <w:num w:numId="3" w16cid:durableId="64424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25"/>
    <w:rsid w:val="00716CD8"/>
    <w:rsid w:val="009D7B94"/>
    <w:rsid w:val="00CE4EDA"/>
    <w:rsid w:val="00E17040"/>
    <w:rsid w:val="00E42F25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C52B0DF"/>
  <w15:chartTrackingRefBased/>
  <w15:docId w15:val="{10241EB3-7A36-4092-AE81-E2F202D6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42F25"/>
    <w:pPr>
      <w:spacing w:before="120" w:after="120"/>
      <w:jc w:val="both"/>
    </w:pPr>
    <w:rPr>
      <w:rFonts w:ascii="Univers" w:hAnsi="Univers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42F25"/>
    <w:rPr>
      <w:rFonts w:ascii="Univers" w:eastAsia="Times New Roman" w:hAnsi="Univers" w:cs="Times New Roman"/>
      <w:szCs w:val="20"/>
      <w:lang w:eastAsia="es-ES"/>
    </w:rPr>
  </w:style>
  <w:style w:type="paragraph" w:customStyle="1" w:styleId="Documento1">
    <w:name w:val="Documento 1"/>
    <w:rsid w:val="00E42F25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E42F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F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2F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2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4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ALONSO ALVAREZ</dc:creator>
  <cp:keywords/>
  <dc:description/>
  <cp:lastModifiedBy>DANIEL ALONSO ALVAREZ</cp:lastModifiedBy>
  <cp:revision>1</cp:revision>
  <dcterms:created xsi:type="dcterms:W3CDTF">2022-09-09T10:18:00Z</dcterms:created>
  <dcterms:modified xsi:type="dcterms:W3CDTF">2022-09-09T15:18:00Z</dcterms:modified>
</cp:coreProperties>
</file>