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ADDA" w14:textId="14C274E4" w:rsidR="00E42F25" w:rsidRPr="00E42F25" w:rsidRDefault="00BE05E6" w:rsidP="00E42F25">
      <w:pPr>
        <w:suppressAutoHyphens/>
        <w:spacing w:line="276" w:lineRule="auto"/>
        <w:jc w:val="both"/>
        <w:rPr>
          <w:rFonts w:ascii="Calibri" w:hAnsi="Calibri" w:cs="Tahoma"/>
          <w:b/>
          <w:sz w:val="32"/>
          <w:szCs w:val="32"/>
          <w:u w:val="single"/>
        </w:rPr>
      </w:pPr>
      <w:proofErr w:type="spellStart"/>
      <w:r w:rsidRPr="00BE05E6">
        <w:rPr>
          <w:rFonts w:ascii="Calibri" w:hAnsi="Calibri" w:cs="Tahoma"/>
          <w:b/>
          <w:sz w:val="32"/>
          <w:szCs w:val="32"/>
          <w:u w:val="single"/>
        </w:rPr>
        <w:t>Supplier</w:t>
      </w:r>
      <w:proofErr w:type="spellEnd"/>
      <w:r w:rsidRPr="00BE05E6">
        <w:rPr>
          <w:rFonts w:ascii="Calibri" w:hAnsi="Calibri" w:cs="Tahoma"/>
          <w:b/>
          <w:sz w:val="32"/>
          <w:szCs w:val="32"/>
          <w:u w:val="single"/>
        </w:rPr>
        <w:t xml:space="preserve"> </w:t>
      </w:r>
      <w:proofErr w:type="spellStart"/>
      <w:r w:rsidRPr="00BE05E6">
        <w:rPr>
          <w:rFonts w:ascii="Calibri" w:hAnsi="Calibri" w:cs="Tahoma"/>
          <w:b/>
          <w:sz w:val="32"/>
          <w:szCs w:val="32"/>
          <w:u w:val="single"/>
        </w:rPr>
        <w:t>evaluation</w:t>
      </w:r>
      <w:proofErr w:type="spellEnd"/>
      <w:r w:rsidRPr="00BE05E6">
        <w:rPr>
          <w:rFonts w:ascii="Calibri" w:hAnsi="Calibri" w:cs="Tahoma"/>
          <w:b/>
          <w:sz w:val="32"/>
          <w:szCs w:val="32"/>
          <w:u w:val="single"/>
        </w:rPr>
        <w:t xml:space="preserve"> and </w:t>
      </w:r>
      <w:proofErr w:type="spellStart"/>
      <w:r w:rsidRPr="00BE05E6">
        <w:rPr>
          <w:rFonts w:ascii="Calibri" w:hAnsi="Calibri" w:cs="Tahoma"/>
          <w:b/>
          <w:sz w:val="32"/>
          <w:szCs w:val="32"/>
          <w:u w:val="single"/>
        </w:rPr>
        <w:t>monitoring</w:t>
      </w:r>
      <w:proofErr w:type="spellEnd"/>
      <w:r w:rsidRPr="00BE05E6">
        <w:rPr>
          <w:rFonts w:ascii="Calibri" w:hAnsi="Calibri" w:cs="Tahoma"/>
          <w:b/>
          <w:sz w:val="32"/>
          <w:szCs w:val="32"/>
          <w:u w:val="single"/>
        </w:rPr>
        <w:t xml:space="preserve"> </w:t>
      </w:r>
      <w:proofErr w:type="spellStart"/>
      <w:r w:rsidRPr="00BE05E6">
        <w:rPr>
          <w:rFonts w:ascii="Calibri" w:hAnsi="Calibri" w:cs="Tahoma"/>
          <w:b/>
          <w:sz w:val="32"/>
          <w:szCs w:val="32"/>
          <w:u w:val="single"/>
        </w:rPr>
        <w:t>requirement</w:t>
      </w:r>
      <w:r w:rsidR="00E42F25" w:rsidRPr="00E42F25">
        <w:rPr>
          <w:rFonts w:ascii="Calibri" w:hAnsi="Calibri" w:cs="Tahoma"/>
          <w:b/>
          <w:sz w:val="32"/>
          <w:szCs w:val="32"/>
          <w:u w:val="single"/>
        </w:rPr>
        <w:t>s</w:t>
      </w:r>
      <w:proofErr w:type="spellEnd"/>
    </w:p>
    <w:p w14:paraId="12DB7B56" w14:textId="77777777" w:rsidR="00E42F25" w:rsidRPr="00C25419" w:rsidRDefault="00E42F25" w:rsidP="00E42F25">
      <w:pPr>
        <w:suppressAutoHyphens/>
        <w:spacing w:line="276" w:lineRule="au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1F090021" w14:textId="77777777" w:rsidR="00BE05E6" w:rsidRPr="00BE05E6" w:rsidRDefault="00BE05E6" w:rsidP="00BE05E6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z w:val="22"/>
          <w:szCs w:val="22"/>
        </w:rPr>
      </w:pP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Quality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Environment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Manager, </w:t>
      </w:r>
      <w:proofErr w:type="spellStart"/>
      <w:r w:rsidRPr="00BE05E6">
        <w:rPr>
          <w:rFonts w:ascii="Calibri" w:hAnsi="Calibri" w:cs="Tahoma"/>
          <w:sz w:val="22"/>
          <w:szCs w:val="22"/>
        </w:rPr>
        <w:t>together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with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Purchasing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Logistics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Managers, </w:t>
      </w:r>
      <w:proofErr w:type="spellStart"/>
      <w:r w:rsidRPr="00BE05E6">
        <w:rPr>
          <w:rFonts w:ascii="Calibri" w:hAnsi="Calibri" w:cs="Tahoma"/>
          <w:sz w:val="22"/>
          <w:szCs w:val="22"/>
        </w:rPr>
        <w:t>carries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out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evaluation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of active </w:t>
      </w:r>
      <w:proofErr w:type="spellStart"/>
      <w:r w:rsidRPr="00BE05E6">
        <w:rPr>
          <w:rFonts w:ascii="Calibri" w:hAnsi="Calibri" w:cs="Tahoma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annual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basis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. </w:t>
      </w:r>
    </w:p>
    <w:p w14:paraId="3756BD98" w14:textId="77777777" w:rsidR="00BE05E6" w:rsidRPr="00BE05E6" w:rsidRDefault="00BE05E6" w:rsidP="00BE05E6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0CE69910" w14:textId="40DF9BB1" w:rsidR="00E42F25" w:rsidRPr="00C25419" w:rsidRDefault="00BE05E6" w:rsidP="00BE05E6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evaluation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must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serve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 w:val="22"/>
          <w:szCs w:val="22"/>
        </w:rPr>
        <w:t>classify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each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one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 w:val="22"/>
          <w:szCs w:val="22"/>
        </w:rPr>
        <w:t>them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in a </w:t>
      </w:r>
      <w:proofErr w:type="spellStart"/>
      <w:r w:rsidRPr="00BE05E6">
        <w:rPr>
          <w:rFonts w:ascii="Calibri" w:hAnsi="Calibri" w:cs="Tahoma"/>
          <w:sz w:val="22"/>
          <w:szCs w:val="22"/>
        </w:rPr>
        <w:t>category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that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helps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Purchasing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 w:val="22"/>
          <w:szCs w:val="22"/>
        </w:rPr>
        <w:t>Logistics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 w:val="22"/>
          <w:szCs w:val="22"/>
        </w:rPr>
        <w:t>Quality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Environment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Departments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Management to </w:t>
      </w:r>
      <w:proofErr w:type="spellStart"/>
      <w:r w:rsidRPr="00BE05E6">
        <w:rPr>
          <w:rFonts w:ascii="Calibri" w:hAnsi="Calibri" w:cs="Tahoma"/>
          <w:sz w:val="22"/>
          <w:szCs w:val="22"/>
        </w:rPr>
        <w:t>manage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their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selection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to </w:t>
      </w:r>
      <w:proofErr w:type="spellStart"/>
      <w:r w:rsidRPr="00BE05E6">
        <w:rPr>
          <w:rFonts w:ascii="Calibri" w:hAnsi="Calibri" w:cs="Tahoma"/>
          <w:sz w:val="22"/>
          <w:szCs w:val="22"/>
        </w:rPr>
        <w:t>have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information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quality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that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supply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company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with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products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services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that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will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later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be </w:t>
      </w:r>
      <w:proofErr w:type="spellStart"/>
      <w:r w:rsidRPr="00BE05E6">
        <w:rPr>
          <w:rFonts w:ascii="Calibri" w:hAnsi="Calibri" w:cs="Tahoma"/>
          <w:sz w:val="22"/>
          <w:szCs w:val="22"/>
        </w:rPr>
        <w:t>transferred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 w:val="22"/>
          <w:szCs w:val="22"/>
        </w:rPr>
        <w:t>customers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(</w:t>
      </w:r>
      <w:proofErr w:type="spellStart"/>
      <w:r w:rsidRPr="00BE05E6">
        <w:rPr>
          <w:rFonts w:ascii="Calibri" w:hAnsi="Calibri" w:cs="Tahoma"/>
          <w:sz w:val="22"/>
          <w:szCs w:val="22"/>
        </w:rPr>
        <w:t>or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company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itself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for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development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 w:val="22"/>
          <w:szCs w:val="22"/>
        </w:rPr>
        <w:t>its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activity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). </w:t>
      </w:r>
      <w:proofErr w:type="spellStart"/>
      <w:r w:rsidRPr="00BE05E6">
        <w:rPr>
          <w:rFonts w:ascii="Calibri" w:hAnsi="Calibri" w:cs="Tahoma"/>
          <w:sz w:val="22"/>
          <w:szCs w:val="22"/>
        </w:rPr>
        <w:t>For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this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reason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following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fundamental </w:t>
      </w:r>
      <w:proofErr w:type="spellStart"/>
      <w:r>
        <w:rPr>
          <w:rFonts w:ascii="Calibri" w:hAnsi="Calibri" w:cs="Tahoma"/>
          <w:sz w:val="22"/>
          <w:szCs w:val="22"/>
        </w:rPr>
        <w:t>parameters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have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been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considered</w:t>
      </w:r>
      <w:proofErr w:type="spellEnd"/>
      <w:r w:rsidR="00E42F25" w:rsidRPr="00C25419">
        <w:rPr>
          <w:rFonts w:ascii="Calibri" w:hAnsi="Calibri" w:cs="Tahoma"/>
          <w:spacing w:val="-3"/>
          <w:sz w:val="22"/>
          <w:szCs w:val="22"/>
        </w:rPr>
        <w:t>:</w:t>
      </w:r>
    </w:p>
    <w:p w14:paraId="058AA454" w14:textId="77777777" w:rsidR="00E42F25" w:rsidRPr="00C25419" w:rsidRDefault="00E42F25" w:rsidP="00E42F25">
      <w:pPr>
        <w:tabs>
          <w:tab w:val="left" w:pos="-720"/>
        </w:tabs>
        <w:suppressAutoHyphens/>
        <w:spacing w:line="276" w:lineRule="auto"/>
        <w:ind w:firstLine="54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32CECFC2" w14:textId="2E8FE076" w:rsidR="00E42F25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  <w:r w:rsidRPr="00C25419">
        <w:rPr>
          <w:rFonts w:ascii="Calibri" w:hAnsi="Calibri" w:cs="Tahoma"/>
          <w:spacing w:val="-3"/>
          <w:sz w:val="22"/>
          <w:szCs w:val="22"/>
        </w:rPr>
        <w:sym w:font="Wingdings" w:char="F0F0"/>
      </w:r>
      <w:r w:rsidRPr="00C25419">
        <w:rPr>
          <w:rFonts w:ascii="Calibri" w:hAnsi="Calibri" w:cs="Tahoma"/>
          <w:spacing w:val="-3"/>
          <w:sz w:val="22"/>
          <w:szCs w:val="22"/>
        </w:rPr>
        <w:t xml:space="preserve"> 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Degree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of general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adequacy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with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requirements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demanded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by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product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or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service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.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Purchasing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Department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,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depending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on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needs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and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market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offer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,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will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qualify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each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supplier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in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following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way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>:</w:t>
      </w:r>
    </w:p>
    <w:p w14:paraId="43050384" w14:textId="77777777" w:rsidR="00E42F25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</w:p>
    <w:p w14:paraId="3264C814" w14:textId="62FE6E2E" w:rsidR="00E42F25" w:rsidRPr="00BE05E6" w:rsidRDefault="00BE05E6" w:rsidP="00BE05E6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b/>
          <w:spacing w:val="-3"/>
          <w:sz w:val="22"/>
          <w:szCs w:val="22"/>
        </w:rPr>
        <w:t>Qualified</w:t>
      </w:r>
      <w:proofErr w:type="spellEnd"/>
      <w:r w:rsidRPr="00BE05E6">
        <w:rPr>
          <w:rFonts w:ascii="Calibri" w:hAnsi="Calibri" w:cs="Tahoma"/>
          <w:b/>
          <w:spacing w:val="-3"/>
          <w:sz w:val="22"/>
          <w:szCs w:val="22"/>
        </w:rPr>
        <w:t xml:space="preserve">: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when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annual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volume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transactions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with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supplier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exceeds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€50,000.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These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are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that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will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be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included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in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annual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evaluation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taking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into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account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following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four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parameter</w:t>
      </w:r>
      <w:r w:rsidR="00E42F25" w:rsidRPr="00BE05E6">
        <w:rPr>
          <w:rFonts w:ascii="Calibri" w:hAnsi="Calibri" w:cs="Tahoma"/>
          <w:spacing w:val="-3"/>
          <w:sz w:val="22"/>
          <w:szCs w:val="22"/>
        </w:rPr>
        <w:t>s</w:t>
      </w:r>
      <w:proofErr w:type="spellEnd"/>
      <w:r w:rsidR="00E42F25" w:rsidRPr="00BE05E6">
        <w:rPr>
          <w:rFonts w:ascii="Calibri" w:hAnsi="Calibri" w:cs="Tahoma"/>
          <w:spacing w:val="-3"/>
          <w:sz w:val="22"/>
          <w:szCs w:val="22"/>
        </w:rPr>
        <w:t xml:space="preserve">: </w:t>
      </w:r>
    </w:p>
    <w:p w14:paraId="5F5C7B09" w14:textId="77777777" w:rsidR="00E42F25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</w:p>
    <w:p w14:paraId="31C15D82" w14:textId="77777777" w:rsidR="00BE05E6" w:rsidRPr="00BE05E6" w:rsidRDefault="00BE05E6" w:rsidP="00BE05E6">
      <w:pPr>
        <w:numPr>
          <w:ilvl w:val="1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i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Manufacturer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: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supplier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is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manufacturer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product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for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which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GRUPO CRAMBO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is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a distributor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with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a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certain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degree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exclusivity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>.</w:t>
      </w:r>
    </w:p>
    <w:p w14:paraId="622D1F56" w14:textId="77777777" w:rsidR="00BE05E6" w:rsidRPr="00BE05E6" w:rsidRDefault="00BE05E6" w:rsidP="00BE05E6">
      <w:pPr>
        <w:numPr>
          <w:ilvl w:val="1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i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Manufacturer's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prescription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: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manufacturer's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conditions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establish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certain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as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exclusive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distributors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its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products</w:t>
      </w:r>
      <w:proofErr w:type="spellEnd"/>
      <w:r w:rsidRPr="00BE05E6">
        <w:rPr>
          <w:rFonts w:ascii="Calibri" w:hAnsi="Calibri" w:cs="Tahoma"/>
          <w:i/>
          <w:spacing w:val="-3"/>
          <w:sz w:val="22"/>
          <w:szCs w:val="22"/>
        </w:rPr>
        <w:t>.</w:t>
      </w:r>
    </w:p>
    <w:p w14:paraId="781821A5" w14:textId="77777777" w:rsidR="00BE05E6" w:rsidRPr="00BE05E6" w:rsidRDefault="00BE05E6" w:rsidP="00BE05E6">
      <w:pPr>
        <w:numPr>
          <w:ilvl w:val="1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i/>
          <w:spacing w:val="-3"/>
          <w:sz w:val="22"/>
          <w:szCs w:val="22"/>
        </w:rPr>
      </w:pPr>
      <w:r w:rsidRPr="00BE05E6">
        <w:rPr>
          <w:rFonts w:ascii="Calibri" w:hAnsi="Calibri" w:cs="Tahoma"/>
          <w:i/>
          <w:spacing w:val="-3"/>
          <w:sz w:val="22"/>
          <w:szCs w:val="22"/>
        </w:rPr>
        <w:t>Price.</w:t>
      </w:r>
    </w:p>
    <w:p w14:paraId="52C76DED" w14:textId="50CFBD5D" w:rsidR="00E42F25" w:rsidRPr="00E02B8A" w:rsidRDefault="00BE05E6" w:rsidP="00BE05E6">
      <w:pPr>
        <w:numPr>
          <w:ilvl w:val="1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i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i/>
          <w:spacing w:val="-3"/>
          <w:sz w:val="22"/>
          <w:szCs w:val="22"/>
        </w:rPr>
        <w:t>Service</w:t>
      </w:r>
      <w:proofErr w:type="spellEnd"/>
      <w:r w:rsidR="00E42F25" w:rsidRPr="00E02B8A">
        <w:rPr>
          <w:rFonts w:ascii="Calibri" w:hAnsi="Calibri" w:cs="Tahoma"/>
          <w:i/>
          <w:spacing w:val="-3"/>
          <w:sz w:val="22"/>
          <w:szCs w:val="22"/>
        </w:rPr>
        <w:t>.</w:t>
      </w:r>
    </w:p>
    <w:p w14:paraId="47D10373" w14:textId="77777777" w:rsidR="00E42F25" w:rsidRPr="00C25419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</w:p>
    <w:p w14:paraId="387E3143" w14:textId="28D32610" w:rsidR="00E42F25" w:rsidRPr="00C25419" w:rsidRDefault="00BE05E6" w:rsidP="00BE05E6">
      <w:pPr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  <w:proofErr w:type="spellStart"/>
      <w:r w:rsidRPr="00BE05E6">
        <w:rPr>
          <w:rFonts w:ascii="Calibri" w:hAnsi="Calibri" w:cs="Tahoma"/>
          <w:b/>
          <w:spacing w:val="-3"/>
          <w:sz w:val="22"/>
          <w:szCs w:val="22"/>
        </w:rPr>
        <w:t>Unqualified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: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when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annual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volume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transactions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carried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out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with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supplier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is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less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than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€50,000. In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most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cases,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these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are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sporadic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suppliers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products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or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services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, and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therefore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no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exhaustive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evaluation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or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monitoring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is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carried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pacing w:val="-3"/>
          <w:sz w:val="22"/>
          <w:szCs w:val="22"/>
        </w:rPr>
        <w:t>out</w:t>
      </w:r>
      <w:proofErr w:type="spellEnd"/>
      <w:r w:rsidR="00E42F25" w:rsidRPr="00BE05E6">
        <w:rPr>
          <w:rFonts w:ascii="Calibri" w:hAnsi="Calibri" w:cs="Tahoma"/>
          <w:spacing w:val="-3"/>
          <w:sz w:val="22"/>
          <w:szCs w:val="22"/>
        </w:rPr>
        <w:t>.</w:t>
      </w:r>
    </w:p>
    <w:p w14:paraId="5C34B30D" w14:textId="77777777" w:rsidR="00E42F25" w:rsidRPr="00C25419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</w:p>
    <w:p w14:paraId="6CC5E026" w14:textId="331C3C17" w:rsidR="00E42F25" w:rsidRPr="00BE05E6" w:rsidRDefault="00E42F25" w:rsidP="00E42F2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Tahoma"/>
          <w:spacing w:val="-3"/>
          <w:sz w:val="22"/>
          <w:szCs w:val="22"/>
        </w:rPr>
      </w:pPr>
      <w:r w:rsidRPr="00C25419">
        <w:rPr>
          <w:rFonts w:ascii="Calibri" w:hAnsi="Calibri" w:cs="Tahoma"/>
          <w:spacing w:val="-3"/>
          <w:sz w:val="22"/>
          <w:szCs w:val="22"/>
        </w:rPr>
        <w:sym w:font="Wingdings" w:char="F0F0"/>
      </w:r>
      <w:r w:rsidRPr="00C25419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Degree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of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confidence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offered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by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pacing w:val="-3"/>
          <w:sz w:val="22"/>
          <w:szCs w:val="22"/>
        </w:rPr>
        <w:t>supplier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.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Quality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and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Environment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Department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will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also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consider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Quality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and/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or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Environmental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Certifications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(ISO 9001, 14001, EMAS, EFQM,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references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,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price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, etc.) of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each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supplier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to be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relevant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,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insofar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as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they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represent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minimum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guarantee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that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it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has a series of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procedures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for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the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monitoring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and control of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its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activity</w:t>
      </w:r>
      <w:proofErr w:type="spellEnd"/>
      <w:r w:rsidR="00BE05E6" w:rsidRPr="00BE05E6">
        <w:rPr>
          <w:rFonts w:ascii="Calibri" w:hAnsi="Calibri" w:cs="Tahoma"/>
          <w:spacing w:val="-3"/>
          <w:sz w:val="22"/>
          <w:szCs w:val="22"/>
        </w:rPr>
        <w:t xml:space="preserve"> and </w:t>
      </w:r>
      <w:proofErr w:type="spellStart"/>
      <w:r w:rsidR="00BE05E6" w:rsidRPr="00BE05E6">
        <w:rPr>
          <w:rFonts w:ascii="Calibri" w:hAnsi="Calibri" w:cs="Tahoma"/>
          <w:spacing w:val="-3"/>
          <w:sz w:val="22"/>
          <w:szCs w:val="22"/>
        </w:rPr>
        <w:t>production</w:t>
      </w:r>
      <w:proofErr w:type="spellEnd"/>
      <w:r w:rsidRPr="00BE05E6">
        <w:rPr>
          <w:rFonts w:ascii="Calibri" w:hAnsi="Calibri" w:cs="Tahoma"/>
          <w:spacing w:val="-3"/>
          <w:sz w:val="22"/>
          <w:szCs w:val="22"/>
        </w:rPr>
        <w:t>.</w:t>
      </w:r>
    </w:p>
    <w:p w14:paraId="7E34F741" w14:textId="09CAE3CD" w:rsidR="00E42F25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4791F588" w14:textId="458535E0" w:rsidR="00E42F25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2270B98E" w14:textId="598B34A2" w:rsidR="00E42F25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4C6EFF98" w14:textId="595054C4" w:rsidR="00E42F25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79D0C847" w14:textId="59A04D45" w:rsidR="00E42F25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75C1251B" w14:textId="77777777" w:rsidR="00E42F25" w:rsidRPr="00C25419" w:rsidRDefault="00E42F25" w:rsidP="00E42F25">
      <w:pPr>
        <w:tabs>
          <w:tab w:val="left" w:pos="-720"/>
        </w:tabs>
        <w:suppressAutoHyphens/>
        <w:spacing w:line="276" w:lineRule="auto"/>
        <w:ind w:left="360"/>
        <w:jc w:val="both"/>
        <w:rPr>
          <w:rFonts w:ascii="Calibri" w:hAnsi="Calibri" w:cs="Tahoma"/>
          <w:spacing w:val="-3"/>
          <w:sz w:val="22"/>
          <w:szCs w:val="22"/>
        </w:rPr>
      </w:pPr>
    </w:p>
    <w:p w14:paraId="697262BA" w14:textId="77777777" w:rsidR="00BE05E6" w:rsidRPr="00BE05E6" w:rsidRDefault="00BE05E6" w:rsidP="00BE05E6">
      <w:pPr>
        <w:pStyle w:val="Textoindependiente2"/>
        <w:spacing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lastRenderedPageBreak/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result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evaluation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suppliers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subcontractors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is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reflected</w:t>
      </w:r>
      <w:proofErr w:type="spellEnd"/>
      <w:r w:rsidRPr="00BE05E6">
        <w:rPr>
          <w:rFonts w:ascii="Calibri" w:hAnsi="Calibri" w:cs="Tahoma"/>
          <w:szCs w:val="22"/>
        </w:rPr>
        <w:t xml:space="preserve"> in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b/>
          <w:szCs w:val="22"/>
        </w:rPr>
        <w:t>Supplier</w:t>
      </w:r>
      <w:proofErr w:type="spellEnd"/>
      <w:r w:rsidRPr="00BE05E6">
        <w:rPr>
          <w:rFonts w:ascii="Calibri" w:hAnsi="Calibri" w:cs="Tahoma"/>
          <w:b/>
          <w:szCs w:val="22"/>
        </w:rPr>
        <w:t>/</w:t>
      </w:r>
      <w:proofErr w:type="spellStart"/>
      <w:r w:rsidRPr="00BE05E6">
        <w:rPr>
          <w:rFonts w:ascii="Calibri" w:hAnsi="Calibri" w:cs="Tahoma"/>
          <w:b/>
          <w:szCs w:val="22"/>
        </w:rPr>
        <w:t>Subcontractor</w:t>
      </w:r>
      <w:proofErr w:type="spellEnd"/>
      <w:r w:rsidRPr="00BE05E6">
        <w:rPr>
          <w:rFonts w:ascii="Calibri" w:hAnsi="Calibri" w:cs="Tahoma"/>
          <w:b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b/>
          <w:szCs w:val="22"/>
        </w:rPr>
        <w:t>Evaluation</w:t>
      </w:r>
      <w:proofErr w:type="spellEnd"/>
      <w:r w:rsidRPr="00BE05E6">
        <w:rPr>
          <w:rFonts w:ascii="Calibri" w:hAnsi="Calibri" w:cs="Tahoma"/>
          <w:b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b/>
          <w:szCs w:val="22"/>
        </w:rPr>
        <w:t>List</w:t>
      </w:r>
      <w:proofErr w:type="spellEnd"/>
      <w:r w:rsidRPr="00BE05E6">
        <w:rPr>
          <w:rFonts w:ascii="Calibri" w:hAnsi="Calibri" w:cs="Tahoma"/>
          <w:szCs w:val="22"/>
        </w:rPr>
        <w:t xml:space="preserve">. </w:t>
      </w:r>
      <w:proofErr w:type="spellStart"/>
      <w:r w:rsidRPr="00BE05E6">
        <w:rPr>
          <w:rFonts w:ascii="Calibri" w:hAnsi="Calibri" w:cs="Tahoma"/>
          <w:szCs w:val="22"/>
        </w:rPr>
        <w:t>This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list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will</w:t>
      </w:r>
      <w:proofErr w:type="spellEnd"/>
      <w:r w:rsidRPr="00BE05E6">
        <w:rPr>
          <w:rFonts w:ascii="Calibri" w:hAnsi="Calibri" w:cs="Tahoma"/>
          <w:szCs w:val="22"/>
        </w:rPr>
        <w:t xml:space="preserve"> be </w:t>
      </w:r>
      <w:proofErr w:type="spellStart"/>
      <w:r w:rsidRPr="00BE05E6">
        <w:rPr>
          <w:rFonts w:ascii="Calibri" w:hAnsi="Calibri" w:cs="Tahoma"/>
          <w:szCs w:val="22"/>
        </w:rPr>
        <w:t>renewed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every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year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after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continuous</w:t>
      </w:r>
      <w:proofErr w:type="spellEnd"/>
      <w:r w:rsidRPr="00BE05E6">
        <w:rPr>
          <w:rFonts w:ascii="Calibri" w:hAnsi="Calibri" w:cs="Tahoma"/>
          <w:szCs w:val="22"/>
        </w:rPr>
        <w:t xml:space="preserve"> re-</w:t>
      </w:r>
      <w:proofErr w:type="spellStart"/>
      <w:r w:rsidRPr="00BE05E6">
        <w:rPr>
          <w:rFonts w:ascii="Calibri" w:hAnsi="Calibri" w:cs="Tahoma"/>
          <w:szCs w:val="22"/>
        </w:rPr>
        <w:t>evaluation</w:t>
      </w:r>
      <w:proofErr w:type="spellEnd"/>
      <w:r w:rsidRPr="00BE05E6">
        <w:rPr>
          <w:rFonts w:ascii="Calibri" w:hAnsi="Calibri" w:cs="Tahoma"/>
          <w:szCs w:val="22"/>
        </w:rPr>
        <w:t>.</w:t>
      </w:r>
    </w:p>
    <w:p w14:paraId="644273C7" w14:textId="77777777" w:rsidR="00BE05E6" w:rsidRPr="00BE05E6" w:rsidRDefault="00BE05E6" w:rsidP="00BE05E6">
      <w:pPr>
        <w:pStyle w:val="Textoindependiente2"/>
        <w:spacing w:line="276" w:lineRule="auto"/>
        <w:rPr>
          <w:rFonts w:ascii="Calibri" w:hAnsi="Calibri" w:cs="Tahoma"/>
          <w:szCs w:val="22"/>
        </w:rPr>
      </w:pPr>
    </w:p>
    <w:p w14:paraId="761200E7" w14:textId="5B2FFB6F" w:rsidR="00E42F25" w:rsidRDefault="00BE05E6" w:rsidP="00BE05E6">
      <w:pPr>
        <w:pStyle w:val="Textoindependiente2"/>
        <w:spacing w:before="0" w:after="0" w:line="276" w:lineRule="auto"/>
        <w:rPr>
          <w:rFonts w:ascii="Calibri" w:hAnsi="Calibri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Quality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Environment</w:t>
      </w:r>
      <w:proofErr w:type="spellEnd"/>
      <w:r w:rsidRPr="00BE05E6">
        <w:rPr>
          <w:rFonts w:ascii="Calibri" w:hAnsi="Calibri" w:cs="Tahoma"/>
          <w:szCs w:val="22"/>
        </w:rPr>
        <w:t xml:space="preserve"> Manager </w:t>
      </w:r>
      <w:proofErr w:type="spellStart"/>
      <w:r w:rsidRPr="00BE05E6">
        <w:rPr>
          <w:rFonts w:ascii="Calibri" w:hAnsi="Calibri" w:cs="Tahoma"/>
          <w:szCs w:val="22"/>
        </w:rPr>
        <w:t>is</w:t>
      </w:r>
      <w:proofErr w:type="spellEnd"/>
      <w:r w:rsidRPr="00BE05E6">
        <w:rPr>
          <w:rFonts w:ascii="Calibri" w:hAnsi="Calibri" w:cs="Tahoma"/>
          <w:szCs w:val="22"/>
        </w:rPr>
        <w:t xml:space="preserve"> in </w:t>
      </w:r>
      <w:proofErr w:type="spellStart"/>
      <w:r w:rsidRPr="00BE05E6">
        <w:rPr>
          <w:rFonts w:ascii="Calibri" w:hAnsi="Calibri" w:cs="Tahoma"/>
          <w:szCs w:val="22"/>
        </w:rPr>
        <w:t>charge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communicating</w:t>
      </w:r>
      <w:proofErr w:type="spellEnd"/>
      <w:r w:rsidRPr="00BE05E6">
        <w:rPr>
          <w:rFonts w:ascii="Calibri" w:hAnsi="Calibri" w:cs="Tahoma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Cs w:val="22"/>
        </w:rPr>
        <w:t>suppliers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subcontractors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Quality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Environment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Policies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r w:rsidRPr="00BE05E6">
        <w:rPr>
          <w:rFonts w:ascii="Calibri" w:hAnsi="Calibri" w:cs="Tahoma"/>
          <w:b/>
          <w:szCs w:val="22"/>
        </w:rPr>
        <w:t>CRAMBO</w:t>
      </w:r>
      <w:r w:rsidRPr="00BE05E6">
        <w:rPr>
          <w:rFonts w:ascii="Calibri" w:hAnsi="Calibri" w:cs="Tahoma"/>
          <w:b/>
          <w:szCs w:val="22"/>
        </w:rPr>
        <w:t xml:space="preserve"> GROUP</w:t>
      </w:r>
      <w:r w:rsidRPr="00BE05E6">
        <w:rPr>
          <w:rFonts w:ascii="Calibri" w:hAnsi="Calibri" w:cs="Tahoma"/>
          <w:szCs w:val="22"/>
        </w:rPr>
        <w:t xml:space="preserve">, as </w:t>
      </w:r>
      <w:proofErr w:type="spellStart"/>
      <w:r w:rsidRPr="00BE05E6">
        <w:rPr>
          <w:rFonts w:ascii="Calibri" w:hAnsi="Calibri" w:cs="Tahoma"/>
          <w:szCs w:val="22"/>
        </w:rPr>
        <w:t>well</w:t>
      </w:r>
      <w:proofErr w:type="spellEnd"/>
      <w:r w:rsidRPr="00BE05E6">
        <w:rPr>
          <w:rFonts w:ascii="Calibri" w:hAnsi="Calibri" w:cs="Tahoma"/>
          <w:szCs w:val="22"/>
        </w:rPr>
        <w:t xml:space="preserve"> as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evaluation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procedure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that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we</w:t>
      </w:r>
      <w:proofErr w:type="spellEnd"/>
      <w:r w:rsidRPr="00BE05E6">
        <w:rPr>
          <w:rFonts w:ascii="Calibri" w:hAnsi="Calibri" w:cs="Tahoma"/>
          <w:szCs w:val="22"/>
        </w:rPr>
        <w:t xml:space="preserve"> are </w:t>
      </w:r>
      <w:proofErr w:type="spellStart"/>
      <w:r w:rsidRPr="00BE05E6">
        <w:rPr>
          <w:rFonts w:ascii="Calibri" w:hAnsi="Calibri" w:cs="Tahoma"/>
          <w:szCs w:val="22"/>
        </w:rPr>
        <w:t>going</w:t>
      </w:r>
      <w:proofErr w:type="spellEnd"/>
      <w:r w:rsidRPr="00BE05E6">
        <w:rPr>
          <w:rFonts w:ascii="Calibri" w:hAnsi="Calibri" w:cs="Tahoma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Cs w:val="22"/>
        </w:rPr>
        <w:t>carry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out</w:t>
      </w:r>
      <w:proofErr w:type="spellEnd"/>
      <w:r w:rsidRPr="00BE05E6">
        <w:rPr>
          <w:rFonts w:ascii="Calibri" w:hAnsi="Calibri" w:cs="Tahoma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environmental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requirements</w:t>
      </w:r>
      <w:proofErr w:type="spellEnd"/>
      <w:r w:rsidRPr="00BE05E6">
        <w:rPr>
          <w:rFonts w:ascii="Calibri" w:hAnsi="Calibri" w:cs="Tahoma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Cs w:val="22"/>
        </w:rPr>
        <w:t>goo</w:t>
      </w:r>
      <w:r>
        <w:rPr>
          <w:rFonts w:ascii="Calibri" w:hAnsi="Calibri" w:cs="Tahoma"/>
          <w:szCs w:val="22"/>
        </w:rPr>
        <w:t>d</w:t>
      </w:r>
      <w:proofErr w:type="spellEnd"/>
      <w:r>
        <w:rPr>
          <w:rFonts w:ascii="Calibri" w:hAnsi="Calibri" w:cs="Tahoma"/>
          <w:szCs w:val="22"/>
        </w:rPr>
        <w:t xml:space="preserve"> </w:t>
      </w:r>
      <w:proofErr w:type="spellStart"/>
      <w:r>
        <w:rPr>
          <w:rFonts w:ascii="Calibri" w:hAnsi="Calibri" w:cs="Tahoma"/>
          <w:szCs w:val="22"/>
        </w:rPr>
        <w:t>practices</w:t>
      </w:r>
      <w:proofErr w:type="spellEnd"/>
      <w:r>
        <w:rPr>
          <w:rFonts w:ascii="Calibri" w:hAnsi="Calibri" w:cs="Tahoma"/>
          <w:szCs w:val="22"/>
        </w:rPr>
        <w:t xml:space="preserve"> and </w:t>
      </w:r>
      <w:proofErr w:type="spellStart"/>
      <w:r>
        <w:rPr>
          <w:rFonts w:ascii="Calibri" w:hAnsi="Calibri" w:cs="Tahoma"/>
          <w:szCs w:val="22"/>
        </w:rPr>
        <w:t>emergency</w:t>
      </w:r>
      <w:proofErr w:type="spellEnd"/>
      <w:r>
        <w:rPr>
          <w:rFonts w:ascii="Calibri" w:hAnsi="Calibri" w:cs="Tahoma"/>
          <w:szCs w:val="22"/>
        </w:rPr>
        <w:t xml:space="preserve"> </w:t>
      </w:r>
      <w:proofErr w:type="spellStart"/>
      <w:r>
        <w:rPr>
          <w:rFonts w:ascii="Calibri" w:hAnsi="Calibri" w:cs="Tahoma"/>
          <w:szCs w:val="22"/>
        </w:rPr>
        <w:t>plans</w:t>
      </w:r>
      <w:proofErr w:type="spellEnd"/>
      <w:r w:rsidR="00E42F25" w:rsidRPr="00C25419">
        <w:rPr>
          <w:rFonts w:ascii="Calibri" w:hAnsi="Calibri"/>
          <w:szCs w:val="22"/>
        </w:rPr>
        <w:t>.</w:t>
      </w:r>
    </w:p>
    <w:p w14:paraId="2BB983E6" w14:textId="77777777" w:rsidR="00E42F25" w:rsidRDefault="00E42F25" w:rsidP="00E42F25">
      <w:pPr>
        <w:pStyle w:val="Textoindependiente2"/>
        <w:spacing w:before="0" w:after="0" w:line="276" w:lineRule="auto"/>
        <w:rPr>
          <w:rFonts w:ascii="Calibri" w:hAnsi="Calibri"/>
          <w:szCs w:val="22"/>
        </w:rPr>
      </w:pPr>
    </w:p>
    <w:p w14:paraId="0705CA47" w14:textId="03ECF45C" w:rsidR="00E42F25" w:rsidRPr="00D45D29" w:rsidRDefault="00E42F25" w:rsidP="00E42F25">
      <w:pPr>
        <w:suppressAutoHyphens/>
        <w:spacing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D45D29">
        <w:rPr>
          <w:rFonts w:ascii="Calibri" w:hAnsi="Calibri" w:cs="Tahoma"/>
          <w:i/>
          <w:sz w:val="22"/>
          <w:szCs w:val="22"/>
          <w:u w:val="single"/>
        </w:rPr>
        <w:t xml:space="preserve">3.3.1. </w:t>
      </w:r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>Re-</w:t>
      </w:r>
      <w:proofErr w:type="spellStart"/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>evaluation</w:t>
      </w:r>
      <w:proofErr w:type="spellEnd"/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 xml:space="preserve"> of </w:t>
      </w:r>
      <w:proofErr w:type="spellStart"/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>Qualified</w:t>
      </w:r>
      <w:proofErr w:type="spellEnd"/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 xml:space="preserve"> </w:t>
      </w:r>
      <w:proofErr w:type="spellStart"/>
      <w:r w:rsidR="00BE05E6" w:rsidRPr="00BE05E6">
        <w:rPr>
          <w:rFonts w:ascii="Calibri" w:hAnsi="Calibri" w:cs="Tahoma"/>
          <w:i/>
          <w:sz w:val="22"/>
          <w:szCs w:val="22"/>
          <w:u w:val="single"/>
        </w:rPr>
        <w:t>Supplier</w:t>
      </w:r>
      <w:r w:rsidRPr="00D45D29">
        <w:rPr>
          <w:rFonts w:ascii="Calibri" w:hAnsi="Calibri" w:cs="Tahoma"/>
          <w:i/>
          <w:sz w:val="22"/>
          <w:szCs w:val="22"/>
          <w:u w:val="single"/>
        </w:rPr>
        <w:t>s</w:t>
      </w:r>
      <w:proofErr w:type="spellEnd"/>
    </w:p>
    <w:p w14:paraId="042DB05B" w14:textId="77777777" w:rsidR="00E42F25" w:rsidRPr="00D45D29" w:rsidRDefault="00E42F25" w:rsidP="00E42F25">
      <w:pPr>
        <w:pStyle w:val="Documento1"/>
        <w:keepNext w:val="0"/>
        <w:keepLines w:val="0"/>
        <w:tabs>
          <w:tab w:val="clear" w:pos="-720"/>
          <w:tab w:val="left" w:pos="567"/>
          <w:tab w:val="right" w:pos="8505"/>
        </w:tabs>
        <w:suppressAutoHyphens w:val="0"/>
        <w:spacing w:line="276" w:lineRule="auto"/>
        <w:jc w:val="both"/>
        <w:rPr>
          <w:rFonts w:ascii="Calibri" w:hAnsi="Calibri" w:cs="Tahoma"/>
          <w:sz w:val="22"/>
          <w:szCs w:val="22"/>
          <w:lang w:val="es-ES_tradnl"/>
        </w:rPr>
      </w:pPr>
    </w:p>
    <w:p w14:paraId="67D34D20" w14:textId="31D33534" w:rsidR="00E42F25" w:rsidRPr="00D44D4D" w:rsidRDefault="00BE05E6" w:rsidP="00E42F25">
      <w:pPr>
        <w:rPr>
          <w:rFonts w:ascii="Calibri" w:hAnsi="Calibri" w:cs="Tahoma"/>
          <w:sz w:val="22"/>
          <w:szCs w:val="22"/>
        </w:rPr>
      </w:pP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Quality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 w:val="22"/>
          <w:szCs w:val="22"/>
        </w:rPr>
        <w:t>Environment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Manager </w:t>
      </w:r>
      <w:proofErr w:type="spellStart"/>
      <w:r w:rsidRPr="00BE05E6">
        <w:rPr>
          <w:rFonts w:ascii="Calibri" w:hAnsi="Calibri" w:cs="Tahoma"/>
          <w:sz w:val="22"/>
          <w:szCs w:val="22"/>
        </w:rPr>
        <w:t>assigns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initial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classification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level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 w:val="22"/>
          <w:szCs w:val="22"/>
        </w:rPr>
        <w:t>each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supplier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according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to </w:t>
      </w:r>
      <w:proofErr w:type="spellStart"/>
      <w:r w:rsidRPr="00BE05E6">
        <w:rPr>
          <w:rFonts w:ascii="Calibri" w:hAnsi="Calibri" w:cs="Tahoma"/>
          <w:sz w:val="22"/>
          <w:szCs w:val="22"/>
        </w:rPr>
        <w:t>the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following</w:t>
      </w:r>
      <w:proofErr w:type="spellEnd"/>
      <w:r w:rsidRPr="00BE05E6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 w:val="22"/>
          <w:szCs w:val="22"/>
        </w:rPr>
        <w:t>classification</w:t>
      </w:r>
      <w:proofErr w:type="spellEnd"/>
      <w:r w:rsidR="00E42F25" w:rsidRPr="00D44D4D">
        <w:rPr>
          <w:rFonts w:ascii="Calibri" w:hAnsi="Calibri" w:cs="Tahoma"/>
          <w:sz w:val="22"/>
          <w:szCs w:val="22"/>
        </w:rPr>
        <w:t>:</w:t>
      </w:r>
    </w:p>
    <w:p w14:paraId="3042BC10" w14:textId="77777777" w:rsidR="00E42F25" w:rsidRPr="00B87AA5" w:rsidRDefault="00E42F25" w:rsidP="00E42F25">
      <w:pPr>
        <w:rPr>
          <w:rFonts w:asciiTheme="minorHAnsi" w:hAnsiTheme="minorHAnsi" w:cs="Arial"/>
          <w:szCs w:val="22"/>
        </w:rPr>
      </w:pPr>
    </w:p>
    <w:p w14:paraId="0B3579D2" w14:textId="0A1CC3A2" w:rsidR="00E42F25" w:rsidRPr="00D44D4D" w:rsidRDefault="00E42F25" w:rsidP="00BE05E6">
      <w:pPr>
        <w:pStyle w:val="Textoindependiente2"/>
        <w:numPr>
          <w:ilvl w:val="0"/>
          <w:numId w:val="3"/>
        </w:numPr>
        <w:spacing w:before="0" w:after="0" w:line="276" w:lineRule="auto"/>
        <w:rPr>
          <w:rFonts w:ascii="Calibri" w:hAnsi="Calibri" w:cs="Tahoma"/>
          <w:szCs w:val="22"/>
        </w:rPr>
      </w:pPr>
      <w:r w:rsidRPr="00D44D4D">
        <w:rPr>
          <w:rFonts w:ascii="Calibri" w:hAnsi="Calibri" w:cs="Tahoma"/>
          <w:szCs w:val="22"/>
        </w:rPr>
        <w:t xml:space="preserve">A: </w:t>
      </w:r>
      <w:proofErr w:type="spellStart"/>
      <w:r w:rsidR="00BE05E6" w:rsidRPr="00BE05E6">
        <w:rPr>
          <w:rFonts w:ascii="Calibri" w:hAnsi="Calibri" w:cs="Tahoma"/>
          <w:szCs w:val="22"/>
        </w:rPr>
        <w:t>Supplier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zCs w:val="22"/>
        </w:rPr>
        <w:t>without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zCs w:val="22"/>
        </w:rPr>
        <w:t>incident</w:t>
      </w:r>
      <w:r w:rsidR="00BE05E6">
        <w:rPr>
          <w:rFonts w:ascii="Calibri" w:hAnsi="Calibri" w:cs="Tahoma"/>
          <w:szCs w:val="22"/>
        </w:rPr>
        <w:t>s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</w:t>
      </w:r>
    </w:p>
    <w:p w14:paraId="1D8F361F" w14:textId="6CD20830" w:rsidR="00E42F25" w:rsidRPr="00D44D4D" w:rsidRDefault="00E42F25" w:rsidP="00BE05E6">
      <w:pPr>
        <w:pStyle w:val="Textoindependiente2"/>
        <w:numPr>
          <w:ilvl w:val="0"/>
          <w:numId w:val="3"/>
        </w:numPr>
        <w:spacing w:before="0" w:after="0" w:line="276" w:lineRule="auto"/>
        <w:rPr>
          <w:rFonts w:ascii="Calibri" w:hAnsi="Calibri" w:cs="Tahoma"/>
          <w:szCs w:val="22"/>
        </w:rPr>
      </w:pPr>
      <w:r w:rsidRPr="00D44D4D">
        <w:rPr>
          <w:rFonts w:ascii="Calibri" w:hAnsi="Calibri" w:cs="Tahoma"/>
          <w:szCs w:val="22"/>
        </w:rPr>
        <w:t xml:space="preserve">B: </w:t>
      </w:r>
      <w:proofErr w:type="spellStart"/>
      <w:r w:rsidR="00BE05E6" w:rsidRPr="00BE05E6">
        <w:rPr>
          <w:rFonts w:ascii="Calibri" w:hAnsi="Calibri" w:cs="Tahoma"/>
          <w:szCs w:val="22"/>
        </w:rPr>
        <w:t>Supplier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zCs w:val="22"/>
        </w:rPr>
        <w:t>with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</w:t>
      </w:r>
      <w:proofErr w:type="spellStart"/>
      <w:r w:rsidR="00BE05E6" w:rsidRPr="00BE05E6">
        <w:rPr>
          <w:rFonts w:ascii="Calibri" w:hAnsi="Calibri" w:cs="Tahoma"/>
          <w:szCs w:val="22"/>
        </w:rPr>
        <w:t>incident</w:t>
      </w:r>
      <w:r w:rsidR="00BE05E6">
        <w:rPr>
          <w:rFonts w:ascii="Calibri" w:hAnsi="Calibri" w:cs="Tahoma"/>
          <w:szCs w:val="22"/>
        </w:rPr>
        <w:t>s</w:t>
      </w:r>
      <w:proofErr w:type="spellEnd"/>
    </w:p>
    <w:p w14:paraId="1A1C0C05" w14:textId="77777777" w:rsidR="00E42F25" w:rsidRPr="00B87AA5" w:rsidRDefault="00E42F25" w:rsidP="00E42F25">
      <w:pPr>
        <w:rPr>
          <w:rFonts w:asciiTheme="minorHAnsi" w:hAnsiTheme="minorHAnsi" w:cs="Arial"/>
          <w:szCs w:val="22"/>
        </w:rPr>
      </w:pPr>
    </w:p>
    <w:p w14:paraId="7DF613F9" w14:textId="77777777" w:rsidR="00BE05E6" w:rsidRPr="00BE05E6" w:rsidRDefault="00BE05E6" w:rsidP="00BE05E6">
      <w:pPr>
        <w:pStyle w:val="Textoindependiente2"/>
        <w:spacing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Quality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Environment</w:t>
      </w:r>
      <w:proofErr w:type="spellEnd"/>
      <w:r w:rsidRPr="00BE05E6">
        <w:rPr>
          <w:rFonts w:ascii="Calibri" w:hAnsi="Calibri" w:cs="Tahoma"/>
          <w:szCs w:val="22"/>
        </w:rPr>
        <w:t xml:space="preserve"> Manager </w:t>
      </w:r>
      <w:proofErr w:type="spellStart"/>
      <w:r w:rsidRPr="00BE05E6">
        <w:rPr>
          <w:rFonts w:ascii="Calibri" w:hAnsi="Calibri" w:cs="Tahoma"/>
          <w:szCs w:val="22"/>
        </w:rPr>
        <w:t>draws</w:t>
      </w:r>
      <w:proofErr w:type="spellEnd"/>
      <w:r w:rsidRPr="00BE05E6">
        <w:rPr>
          <w:rFonts w:ascii="Calibri" w:hAnsi="Calibri" w:cs="Tahoma"/>
          <w:szCs w:val="22"/>
        </w:rPr>
        <w:t xml:space="preserve"> up a </w:t>
      </w:r>
      <w:proofErr w:type="spellStart"/>
      <w:r w:rsidRPr="00BE05E6">
        <w:rPr>
          <w:rFonts w:ascii="Calibri" w:hAnsi="Calibri" w:cs="Tahoma"/>
          <w:szCs w:val="22"/>
        </w:rPr>
        <w:t>list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all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approved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suppliers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with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their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assigned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classification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level</w:t>
      </w:r>
      <w:proofErr w:type="spellEnd"/>
      <w:r w:rsidRPr="00BE05E6">
        <w:rPr>
          <w:rFonts w:ascii="Calibri" w:hAnsi="Calibri" w:cs="Tahoma"/>
          <w:szCs w:val="22"/>
        </w:rPr>
        <w:t xml:space="preserve">.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Quality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Environment</w:t>
      </w:r>
      <w:proofErr w:type="spellEnd"/>
      <w:r w:rsidRPr="00BE05E6">
        <w:rPr>
          <w:rFonts w:ascii="Calibri" w:hAnsi="Calibri" w:cs="Tahoma"/>
          <w:szCs w:val="22"/>
        </w:rPr>
        <w:t xml:space="preserve"> Manager </w:t>
      </w:r>
      <w:proofErr w:type="spellStart"/>
      <w:r w:rsidRPr="00BE05E6">
        <w:rPr>
          <w:rFonts w:ascii="Calibri" w:hAnsi="Calibri" w:cs="Tahoma"/>
          <w:szCs w:val="22"/>
        </w:rPr>
        <w:t>continuously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monitors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each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supplier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that</w:t>
      </w:r>
      <w:proofErr w:type="spellEnd"/>
      <w:r w:rsidRPr="00BE05E6">
        <w:rPr>
          <w:rFonts w:ascii="Calibri" w:hAnsi="Calibri" w:cs="Tahoma"/>
          <w:szCs w:val="22"/>
        </w:rPr>
        <w:t xml:space="preserve"> has </w:t>
      </w:r>
      <w:proofErr w:type="spellStart"/>
      <w:r w:rsidRPr="00BE05E6">
        <w:rPr>
          <w:rFonts w:ascii="Calibri" w:hAnsi="Calibri" w:cs="Tahoma"/>
          <w:szCs w:val="22"/>
        </w:rPr>
        <w:t>been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approved</w:t>
      </w:r>
      <w:proofErr w:type="spellEnd"/>
      <w:r w:rsidRPr="00BE05E6">
        <w:rPr>
          <w:rFonts w:ascii="Calibri" w:hAnsi="Calibri" w:cs="Tahoma"/>
          <w:szCs w:val="22"/>
        </w:rPr>
        <w:t xml:space="preserve">. He uses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number</w:t>
      </w:r>
      <w:proofErr w:type="spellEnd"/>
      <w:r w:rsidRPr="00BE05E6">
        <w:rPr>
          <w:rFonts w:ascii="Calibri" w:hAnsi="Calibri" w:cs="Tahoma"/>
          <w:szCs w:val="22"/>
        </w:rPr>
        <w:t xml:space="preserve"> of Non-</w:t>
      </w:r>
      <w:proofErr w:type="spellStart"/>
      <w:r w:rsidRPr="00BE05E6">
        <w:rPr>
          <w:rFonts w:ascii="Calibri" w:hAnsi="Calibri" w:cs="Tahoma"/>
          <w:szCs w:val="22"/>
        </w:rPr>
        <w:t>Conformity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Reports</w:t>
      </w:r>
      <w:proofErr w:type="spellEnd"/>
      <w:r w:rsidRPr="00BE05E6">
        <w:rPr>
          <w:rFonts w:ascii="Calibri" w:hAnsi="Calibri" w:cs="Tahoma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Cs w:val="22"/>
        </w:rPr>
        <w:t>Customer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Complaints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Corrective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Actions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generated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by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that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supplier</w:t>
      </w:r>
      <w:proofErr w:type="spellEnd"/>
      <w:r w:rsidRPr="00BE05E6">
        <w:rPr>
          <w:rFonts w:ascii="Calibri" w:hAnsi="Calibri" w:cs="Tahoma"/>
          <w:szCs w:val="22"/>
        </w:rPr>
        <w:t>.</w:t>
      </w:r>
    </w:p>
    <w:p w14:paraId="6469303D" w14:textId="77777777" w:rsidR="00BE05E6" w:rsidRPr="00BE05E6" w:rsidRDefault="00BE05E6" w:rsidP="00BE05E6">
      <w:pPr>
        <w:pStyle w:val="Textoindependiente2"/>
        <w:spacing w:line="276" w:lineRule="auto"/>
        <w:rPr>
          <w:rFonts w:ascii="Calibri" w:hAnsi="Calibri" w:cs="Tahoma"/>
          <w:szCs w:val="22"/>
        </w:rPr>
      </w:pPr>
      <w:r w:rsidRPr="00BE05E6">
        <w:rPr>
          <w:rFonts w:ascii="Calibri" w:hAnsi="Calibri" w:cs="Tahoma"/>
          <w:szCs w:val="22"/>
        </w:rPr>
        <w:tab/>
      </w:r>
    </w:p>
    <w:p w14:paraId="13ECAEE1" w14:textId="326C8CDF" w:rsidR="00E42F25" w:rsidRPr="00D44D4D" w:rsidRDefault="00BE05E6" w:rsidP="00BE05E6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Depending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occurrence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not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recorded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incidents</w:t>
      </w:r>
      <w:proofErr w:type="spellEnd"/>
      <w:r w:rsidRPr="00BE05E6">
        <w:rPr>
          <w:rFonts w:ascii="Calibri" w:hAnsi="Calibri" w:cs="Tahoma"/>
          <w:szCs w:val="22"/>
        </w:rPr>
        <w:t xml:space="preserve"> and </w:t>
      </w:r>
      <w:proofErr w:type="spellStart"/>
      <w:r w:rsidRPr="00BE05E6">
        <w:rPr>
          <w:rFonts w:ascii="Calibri" w:hAnsi="Calibri" w:cs="Tahoma"/>
          <w:szCs w:val="22"/>
        </w:rPr>
        <w:t>their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degree</w:t>
      </w:r>
      <w:proofErr w:type="spellEnd"/>
      <w:r w:rsidRPr="00BE05E6">
        <w:rPr>
          <w:rFonts w:ascii="Calibri" w:hAnsi="Calibri" w:cs="Tahoma"/>
          <w:szCs w:val="22"/>
        </w:rPr>
        <w:t xml:space="preserve"> of </w:t>
      </w:r>
      <w:proofErr w:type="spellStart"/>
      <w:r w:rsidRPr="00BE05E6">
        <w:rPr>
          <w:rFonts w:ascii="Calibri" w:hAnsi="Calibri" w:cs="Tahoma"/>
          <w:szCs w:val="22"/>
        </w:rPr>
        <w:t>importance</w:t>
      </w:r>
      <w:proofErr w:type="spellEnd"/>
      <w:r w:rsidRPr="00BE05E6">
        <w:rPr>
          <w:rFonts w:ascii="Calibri" w:hAnsi="Calibri" w:cs="Tahoma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Cs w:val="22"/>
        </w:rPr>
        <w:t>all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suppliers</w:t>
      </w:r>
      <w:proofErr w:type="spellEnd"/>
      <w:r w:rsidRPr="00BE05E6">
        <w:rPr>
          <w:rFonts w:ascii="Calibri" w:hAnsi="Calibri" w:cs="Tahoma"/>
          <w:szCs w:val="22"/>
        </w:rPr>
        <w:t xml:space="preserve"> are re-</w:t>
      </w:r>
      <w:proofErr w:type="spellStart"/>
      <w:r w:rsidRPr="00BE05E6">
        <w:rPr>
          <w:rFonts w:ascii="Calibri" w:hAnsi="Calibri" w:cs="Tahoma"/>
          <w:szCs w:val="22"/>
        </w:rPr>
        <w:t>evaluated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annually</w:t>
      </w:r>
      <w:proofErr w:type="spellEnd"/>
      <w:r w:rsidRPr="00BE05E6">
        <w:rPr>
          <w:rFonts w:ascii="Calibri" w:hAnsi="Calibri" w:cs="Tahoma"/>
          <w:szCs w:val="22"/>
        </w:rPr>
        <w:t xml:space="preserve"> and, </w:t>
      </w:r>
      <w:proofErr w:type="spellStart"/>
      <w:r w:rsidRPr="00BE05E6">
        <w:rPr>
          <w:rFonts w:ascii="Calibri" w:hAnsi="Calibri" w:cs="Tahoma"/>
          <w:szCs w:val="22"/>
        </w:rPr>
        <w:t>if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necessary</w:t>
      </w:r>
      <w:proofErr w:type="spellEnd"/>
      <w:r w:rsidRPr="00BE05E6">
        <w:rPr>
          <w:rFonts w:ascii="Calibri" w:hAnsi="Calibri" w:cs="Tahoma"/>
          <w:szCs w:val="22"/>
        </w:rPr>
        <w:t xml:space="preserve">, </w:t>
      </w:r>
      <w:proofErr w:type="spellStart"/>
      <w:r w:rsidRPr="00BE05E6">
        <w:rPr>
          <w:rFonts w:ascii="Calibri" w:hAnsi="Calibri" w:cs="Tahoma"/>
          <w:szCs w:val="22"/>
        </w:rPr>
        <w:t>assigned</w:t>
      </w:r>
      <w:proofErr w:type="spellEnd"/>
      <w:r w:rsidRPr="00BE05E6">
        <w:rPr>
          <w:rFonts w:ascii="Calibri" w:hAnsi="Calibri" w:cs="Tahoma"/>
          <w:szCs w:val="22"/>
        </w:rPr>
        <w:t xml:space="preserve"> a new </w:t>
      </w:r>
      <w:proofErr w:type="spellStart"/>
      <w:r w:rsidRPr="00BE05E6">
        <w:rPr>
          <w:rFonts w:ascii="Calibri" w:hAnsi="Calibri" w:cs="Tahoma"/>
          <w:szCs w:val="22"/>
        </w:rPr>
        <w:t>category</w:t>
      </w:r>
      <w:proofErr w:type="spellEnd"/>
      <w:r w:rsidR="00E42F25" w:rsidRPr="00D44D4D">
        <w:rPr>
          <w:rFonts w:ascii="Calibri" w:hAnsi="Calibri" w:cs="Tahoma"/>
          <w:szCs w:val="22"/>
        </w:rPr>
        <w:t>.</w:t>
      </w:r>
    </w:p>
    <w:p w14:paraId="79FDB6CA" w14:textId="77777777" w:rsidR="00E42F25" w:rsidRDefault="00E42F25" w:rsidP="00E42F25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</w:p>
    <w:p w14:paraId="084953D1" w14:textId="77777777" w:rsidR="00E42F25" w:rsidRPr="00D44D4D" w:rsidRDefault="00E42F25" w:rsidP="00E42F25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</w:p>
    <w:p w14:paraId="00212BA8" w14:textId="76EB0471" w:rsidR="00E42F25" w:rsidRPr="00D44D4D" w:rsidRDefault="00E42F25" w:rsidP="00E42F25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  <w:bookmarkStart w:id="0" w:name="_Toc248551778"/>
      <w:bookmarkStart w:id="1" w:name="_Toc248551847"/>
      <w:r w:rsidRPr="00D44D4D">
        <w:rPr>
          <w:rFonts w:ascii="Calibri" w:hAnsi="Calibri" w:cs="Tahoma"/>
          <w:szCs w:val="22"/>
        </w:rPr>
        <w:t xml:space="preserve">3.3.2 </w:t>
      </w:r>
      <w:r w:rsidR="00BE05E6" w:rsidRPr="00BE05E6">
        <w:rPr>
          <w:rFonts w:ascii="Calibri" w:hAnsi="Calibri" w:cs="Tahoma"/>
          <w:szCs w:val="22"/>
        </w:rPr>
        <w:t>De-</w:t>
      </w:r>
      <w:proofErr w:type="spellStart"/>
      <w:r w:rsidR="00BE05E6" w:rsidRPr="00BE05E6">
        <w:rPr>
          <w:rFonts w:ascii="Calibri" w:hAnsi="Calibri" w:cs="Tahoma"/>
          <w:szCs w:val="22"/>
        </w:rPr>
        <w:t>approval</w:t>
      </w:r>
      <w:proofErr w:type="spellEnd"/>
      <w:r w:rsidR="00BE05E6" w:rsidRPr="00BE05E6">
        <w:rPr>
          <w:rFonts w:ascii="Calibri" w:hAnsi="Calibri" w:cs="Tahoma"/>
          <w:szCs w:val="22"/>
        </w:rPr>
        <w:t xml:space="preserve"> of </w:t>
      </w:r>
      <w:proofErr w:type="spellStart"/>
      <w:r w:rsidR="00BE05E6" w:rsidRPr="00BE05E6">
        <w:rPr>
          <w:rFonts w:ascii="Calibri" w:hAnsi="Calibri" w:cs="Tahoma"/>
          <w:szCs w:val="22"/>
        </w:rPr>
        <w:t>supplier</w:t>
      </w:r>
      <w:r w:rsidRPr="00D44D4D">
        <w:rPr>
          <w:rFonts w:ascii="Calibri" w:hAnsi="Calibri" w:cs="Tahoma"/>
          <w:szCs w:val="22"/>
        </w:rPr>
        <w:t>s</w:t>
      </w:r>
      <w:bookmarkEnd w:id="0"/>
      <w:bookmarkEnd w:id="1"/>
      <w:proofErr w:type="spellEnd"/>
      <w:r w:rsidRPr="00D44D4D">
        <w:rPr>
          <w:rFonts w:ascii="Calibri" w:hAnsi="Calibri" w:cs="Tahoma"/>
          <w:szCs w:val="22"/>
        </w:rPr>
        <w:fldChar w:fldCharType="begin"/>
      </w:r>
      <w:r w:rsidRPr="00D44D4D">
        <w:rPr>
          <w:rFonts w:ascii="Calibri" w:hAnsi="Calibri" w:cs="Tahoma"/>
          <w:szCs w:val="22"/>
        </w:rPr>
        <w:instrText xml:space="preserve"> XE "3.1.5 Deshomologación de proveedores" </w:instrText>
      </w:r>
      <w:r w:rsidRPr="00D44D4D">
        <w:rPr>
          <w:rFonts w:ascii="Calibri" w:hAnsi="Calibri" w:cs="Tahoma"/>
          <w:szCs w:val="22"/>
        </w:rPr>
        <w:fldChar w:fldCharType="end"/>
      </w:r>
    </w:p>
    <w:p w14:paraId="13947E63" w14:textId="77777777" w:rsidR="00E42F25" w:rsidRPr="00D44D4D" w:rsidRDefault="00E42F25" w:rsidP="00E42F25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</w:p>
    <w:p w14:paraId="0D6D7DF5" w14:textId="51152B66" w:rsidR="00E42F25" w:rsidRPr="00D44D4D" w:rsidRDefault="00BE05E6" w:rsidP="00E42F25">
      <w:pPr>
        <w:pStyle w:val="Textoindependiente2"/>
        <w:spacing w:before="0" w:after="0"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They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will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dehomologate</w:t>
      </w:r>
      <w:proofErr w:type="spellEnd"/>
      <w:r w:rsidR="00E42F25" w:rsidRPr="00D44D4D">
        <w:rPr>
          <w:rFonts w:ascii="Calibri" w:hAnsi="Calibri" w:cs="Tahoma"/>
          <w:szCs w:val="22"/>
        </w:rPr>
        <w:t>:</w:t>
      </w:r>
      <w:bookmarkStart w:id="2" w:name="_GoBack"/>
      <w:bookmarkEnd w:id="2"/>
    </w:p>
    <w:p w14:paraId="47B1250B" w14:textId="77777777" w:rsidR="00BE05E6" w:rsidRPr="00BE05E6" w:rsidRDefault="00BE05E6" w:rsidP="00BE05E6">
      <w:pPr>
        <w:pStyle w:val="Textoindependiente2"/>
        <w:numPr>
          <w:ilvl w:val="0"/>
          <w:numId w:val="3"/>
        </w:numPr>
        <w:spacing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Those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suppliers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with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whom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litigation</w:t>
      </w:r>
      <w:proofErr w:type="spellEnd"/>
      <w:r w:rsidRPr="00BE05E6">
        <w:rPr>
          <w:rFonts w:ascii="Calibri" w:hAnsi="Calibri" w:cs="Tahoma"/>
          <w:szCs w:val="22"/>
        </w:rPr>
        <w:t xml:space="preserve"> has </w:t>
      </w:r>
      <w:proofErr w:type="spellStart"/>
      <w:r w:rsidRPr="00BE05E6">
        <w:rPr>
          <w:rFonts w:ascii="Calibri" w:hAnsi="Calibri" w:cs="Tahoma"/>
          <w:szCs w:val="22"/>
        </w:rPr>
        <w:t>been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brought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before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courts</w:t>
      </w:r>
      <w:proofErr w:type="spellEnd"/>
      <w:r w:rsidRPr="00BE05E6">
        <w:rPr>
          <w:rFonts w:ascii="Calibri" w:hAnsi="Calibri" w:cs="Tahoma"/>
          <w:szCs w:val="22"/>
        </w:rPr>
        <w:t>.</w:t>
      </w:r>
    </w:p>
    <w:p w14:paraId="71E6EF55" w14:textId="77777777" w:rsidR="00BE05E6" w:rsidRPr="00BE05E6" w:rsidRDefault="00BE05E6" w:rsidP="00BE05E6">
      <w:pPr>
        <w:pStyle w:val="Textoindependiente2"/>
        <w:numPr>
          <w:ilvl w:val="0"/>
          <w:numId w:val="3"/>
        </w:numPr>
        <w:spacing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Those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with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which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economic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report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detects</w:t>
      </w:r>
      <w:proofErr w:type="spellEnd"/>
      <w:r w:rsidRPr="00BE05E6">
        <w:rPr>
          <w:rFonts w:ascii="Calibri" w:hAnsi="Calibri" w:cs="Tahoma"/>
          <w:szCs w:val="22"/>
        </w:rPr>
        <w:t xml:space="preserve"> a </w:t>
      </w:r>
      <w:proofErr w:type="spellStart"/>
      <w:r w:rsidRPr="00BE05E6">
        <w:rPr>
          <w:rFonts w:ascii="Calibri" w:hAnsi="Calibri" w:cs="Tahoma"/>
          <w:szCs w:val="22"/>
        </w:rPr>
        <w:t>possibility</w:t>
      </w:r>
      <w:proofErr w:type="spellEnd"/>
      <w:r w:rsidRPr="00BE05E6">
        <w:rPr>
          <w:rFonts w:ascii="Calibri" w:hAnsi="Calibri" w:cs="Tahoma"/>
          <w:szCs w:val="22"/>
        </w:rPr>
        <w:t xml:space="preserve"> of non-</w:t>
      </w:r>
      <w:proofErr w:type="spellStart"/>
      <w:r w:rsidRPr="00BE05E6">
        <w:rPr>
          <w:rFonts w:ascii="Calibri" w:hAnsi="Calibri" w:cs="Tahoma"/>
          <w:szCs w:val="22"/>
        </w:rPr>
        <w:t>supply</w:t>
      </w:r>
      <w:proofErr w:type="spellEnd"/>
      <w:r w:rsidRPr="00BE05E6">
        <w:rPr>
          <w:rFonts w:ascii="Calibri" w:hAnsi="Calibri" w:cs="Tahoma"/>
          <w:szCs w:val="22"/>
        </w:rPr>
        <w:t>.</w:t>
      </w:r>
    </w:p>
    <w:p w14:paraId="6DD23A1C" w14:textId="43789600" w:rsidR="00E42F25" w:rsidRDefault="00BE05E6" w:rsidP="00BE05E6">
      <w:pPr>
        <w:pStyle w:val="Textoindependiente2"/>
        <w:numPr>
          <w:ilvl w:val="0"/>
          <w:numId w:val="3"/>
        </w:numPr>
        <w:spacing w:before="0" w:after="0" w:line="276" w:lineRule="auto"/>
        <w:rPr>
          <w:rFonts w:ascii="Calibri" w:hAnsi="Calibri" w:cs="Tahoma"/>
          <w:szCs w:val="22"/>
        </w:rPr>
      </w:pPr>
      <w:proofErr w:type="spellStart"/>
      <w:r w:rsidRPr="00BE05E6">
        <w:rPr>
          <w:rFonts w:ascii="Calibri" w:hAnsi="Calibri" w:cs="Tahoma"/>
          <w:szCs w:val="22"/>
        </w:rPr>
        <w:t>Those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with</w:t>
      </w:r>
      <w:proofErr w:type="spellEnd"/>
      <w:r w:rsidRPr="00BE05E6">
        <w:rPr>
          <w:rFonts w:ascii="Calibri" w:hAnsi="Calibri" w:cs="Tahoma"/>
          <w:szCs w:val="22"/>
        </w:rPr>
        <w:t xml:space="preserve"> more </w:t>
      </w:r>
      <w:proofErr w:type="spellStart"/>
      <w:r w:rsidRPr="00BE05E6">
        <w:rPr>
          <w:rFonts w:ascii="Calibri" w:hAnsi="Calibri" w:cs="Tahoma"/>
          <w:szCs w:val="22"/>
        </w:rPr>
        <w:t>than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one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incident</w:t>
      </w:r>
      <w:proofErr w:type="spellEnd"/>
      <w:r w:rsidRPr="00BE05E6">
        <w:rPr>
          <w:rFonts w:ascii="Calibri" w:hAnsi="Calibri" w:cs="Tahoma"/>
          <w:szCs w:val="22"/>
        </w:rPr>
        <w:t xml:space="preserve"> in </w:t>
      </w:r>
      <w:proofErr w:type="spellStart"/>
      <w:r w:rsidRPr="00BE05E6">
        <w:rPr>
          <w:rFonts w:ascii="Calibri" w:hAnsi="Calibri" w:cs="Tahoma"/>
          <w:szCs w:val="22"/>
        </w:rPr>
        <w:t>the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service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provided</w:t>
      </w:r>
      <w:proofErr w:type="spellEnd"/>
      <w:r w:rsidRPr="00BE05E6">
        <w:rPr>
          <w:rFonts w:ascii="Calibri" w:hAnsi="Calibri" w:cs="Tahoma"/>
          <w:szCs w:val="22"/>
        </w:rPr>
        <w:t xml:space="preserve"> </w:t>
      </w:r>
      <w:proofErr w:type="spellStart"/>
      <w:r w:rsidRPr="00BE05E6">
        <w:rPr>
          <w:rFonts w:ascii="Calibri" w:hAnsi="Calibri" w:cs="Tahoma"/>
          <w:szCs w:val="22"/>
        </w:rPr>
        <w:t>within</w:t>
      </w:r>
      <w:proofErr w:type="spellEnd"/>
      <w:r w:rsidRPr="00BE05E6">
        <w:rPr>
          <w:rFonts w:ascii="Calibri" w:hAnsi="Calibri" w:cs="Tahoma"/>
          <w:szCs w:val="22"/>
        </w:rPr>
        <w:t xml:space="preserve"> a </w:t>
      </w:r>
      <w:proofErr w:type="spellStart"/>
      <w:r w:rsidRPr="00BE05E6">
        <w:rPr>
          <w:rFonts w:ascii="Calibri" w:hAnsi="Calibri" w:cs="Tahoma"/>
          <w:szCs w:val="22"/>
        </w:rPr>
        <w:t>period</w:t>
      </w:r>
      <w:proofErr w:type="spellEnd"/>
      <w:r w:rsidRPr="00BE05E6">
        <w:rPr>
          <w:rFonts w:ascii="Calibri" w:hAnsi="Calibri" w:cs="Tahoma"/>
          <w:szCs w:val="22"/>
        </w:rPr>
        <w:t xml:space="preserve"> of 1 </w:t>
      </w:r>
      <w:proofErr w:type="spellStart"/>
      <w:r w:rsidRPr="00BE05E6">
        <w:rPr>
          <w:rFonts w:ascii="Calibri" w:hAnsi="Calibri" w:cs="Tahoma"/>
          <w:szCs w:val="22"/>
        </w:rPr>
        <w:t>year</w:t>
      </w:r>
      <w:proofErr w:type="spellEnd"/>
      <w:r w:rsidR="00E42F25" w:rsidRPr="00D44D4D">
        <w:rPr>
          <w:rFonts w:ascii="Calibri" w:hAnsi="Calibri" w:cs="Tahoma"/>
          <w:szCs w:val="22"/>
        </w:rPr>
        <w:t>.</w:t>
      </w:r>
    </w:p>
    <w:p w14:paraId="08D10C17" w14:textId="77777777" w:rsidR="009D7B94" w:rsidRDefault="009D7B94"/>
    <w:sectPr w:rsidR="009D7B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B585" w14:textId="77777777" w:rsidR="00C16E51" w:rsidRDefault="00C16E51" w:rsidP="00E42F25">
      <w:r>
        <w:separator/>
      </w:r>
    </w:p>
  </w:endnote>
  <w:endnote w:type="continuationSeparator" w:id="0">
    <w:p w14:paraId="347B816F" w14:textId="77777777" w:rsidR="00C16E51" w:rsidRDefault="00C16E51" w:rsidP="00E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4DCB" w14:textId="0C417D1F" w:rsidR="00E42F25" w:rsidRDefault="00E42F25" w:rsidP="00E42F25">
    <w:pPr>
      <w:pStyle w:val="Piedepgina"/>
      <w:jc w:val="right"/>
    </w:pPr>
    <w:r w:rsidRPr="00320085">
      <w:rPr>
        <w:rStyle w:val="Nmerodepgina"/>
        <w:rFonts w:ascii="Calibri" w:hAnsi="Calibri"/>
        <w:sz w:val="18"/>
        <w:szCs w:val="18"/>
      </w:rPr>
      <w:fldChar w:fldCharType="begin"/>
    </w:r>
    <w:r w:rsidRPr="00320085">
      <w:rPr>
        <w:rStyle w:val="Nmerodepgina"/>
        <w:rFonts w:ascii="Calibri" w:hAnsi="Calibri"/>
        <w:sz w:val="18"/>
        <w:szCs w:val="18"/>
      </w:rPr>
      <w:instrText xml:space="preserve"> PAGE </w:instrText>
    </w:r>
    <w:r w:rsidRPr="00320085">
      <w:rPr>
        <w:rStyle w:val="Nmerodepgina"/>
        <w:rFonts w:ascii="Calibri" w:hAnsi="Calibri"/>
        <w:sz w:val="18"/>
        <w:szCs w:val="18"/>
      </w:rPr>
      <w:fldChar w:fldCharType="separate"/>
    </w:r>
    <w:r w:rsidR="00BE05E6">
      <w:rPr>
        <w:rStyle w:val="Nmerodepgina"/>
        <w:rFonts w:ascii="Calibri" w:hAnsi="Calibri"/>
        <w:noProof/>
        <w:sz w:val="18"/>
        <w:szCs w:val="18"/>
      </w:rPr>
      <w:t>2</w:t>
    </w:r>
    <w:r w:rsidRPr="00320085">
      <w:rPr>
        <w:rStyle w:val="Nmerodepgina"/>
        <w:rFonts w:ascii="Calibri" w:hAnsi="Calibri"/>
        <w:sz w:val="18"/>
        <w:szCs w:val="18"/>
      </w:rPr>
      <w:fldChar w:fldCharType="end"/>
    </w:r>
    <w:r w:rsidRPr="00320085">
      <w:rPr>
        <w:rStyle w:val="Nmerodepgina"/>
        <w:rFonts w:ascii="Calibri" w:hAnsi="Calibri"/>
        <w:sz w:val="18"/>
        <w:szCs w:val="18"/>
      </w:rPr>
      <w:t xml:space="preserve"> de </w:t>
    </w:r>
    <w:r w:rsidRPr="00320085">
      <w:rPr>
        <w:rStyle w:val="Nmerodepgina"/>
        <w:rFonts w:ascii="Calibri" w:hAnsi="Calibri"/>
        <w:sz w:val="18"/>
        <w:szCs w:val="18"/>
      </w:rPr>
      <w:fldChar w:fldCharType="begin"/>
    </w:r>
    <w:r w:rsidRPr="00320085">
      <w:rPr>
        <w:rStyle w:val="Nmerodepgina"/>
        <w:rFonts w:ascii="Calibri" w:hAnsi="Calibri"/>
        <w:sz w:val="18"/>
        <w:szCs w:val="18"/>
      </w:rPr>
      <w:instrText xml:space="preserve"> NUMPAGES </w:instrText>
    </w:r>
    <w:r w:rsidRPr="00320085">
      <w:rPr>
        <w:rStyle w:val="Nmerodepgina"/>
        <w:rFonts w:ascii="Calibri" w:hAnsi="Calibri"/>
        <w:sz w:val="18"/>
        <w:szCs w:val="18"/>
      </w:rPr>
      <w:fldChar w:fldCharType="separate"/>
    </w:r>
    <w:r w:rsidR="00BE05E6">
      <w:rPr>
        <w:rStyle w:val="Nmerodepgina"/>
        <w:rFonts w:ascii="Calibri" w:hAnsi="Calibri"/>
        <w:noProof/>
        <w:sz w:val="18"/>
        <w:szCs w:val="18"/>
      </w:rPr>
      <w:t>2</w:t>
    </w:r>
    <w:r w:rsidRPr="00320085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9BCC" w14:textId="77777777" w:rsidR="00C16E51" w:rsidRDefault="00C16E51" w:rsidP="00E42F25">
      <w:r>
        <w:separator/>
      </w:r>
    </w:p>
  </w:footnote>
  <w:footnote w:type="continuationSeparator" w:id="0">
    <w:p w14:paraId="2958FC9F" w14:textId="77777777" w:rsidR="00C16E51" w:rsidRDefault="00C16E51" w:rsidP="00E4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9"/>
      <w:gridCol w:w="4775"/>
    </w:tblGrid>
    <w:tr w:rsidR="00E17040" w14:paraId="5774E231" w14:textId="5DFCF726" w:rsidTr="00E17040">
      <w:trPr>
        <w:trHeight w:val="996"/>
        <w:jc w:val="center"/>
      </w:trPr>
      <w:tc>
        <w:tcPr>
          <w:tcW w:w="3770" w:type="dxa"/>
        </w:tcPr>
        <w:p w14:paraId="5AA718F2" w14:textId="24FF551C" w:rsidR="00E17040" w:rsidRDefault="00E17040">
          <w:pPr>
            <w:pStyle w:val="Encabezado"/>
          </w:pPr>
          <w:r>
            <w:rPr>
              <w:noProof/>
            </w:rPr>
            <w:drawing>
              <wp:inline distT="0" distB="0" distL="0" distR="0" wp14:anchorId="7270DE19" wp14:editId="4D69469A">
                <wp:extent cx="2156460" cy="370208"/>
                <wp:effectExtent l="0" t="0" r="0" b="0"/>
                <wp:docPr id="1" name="Imagen 1" descr="cramb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amb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708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</w:tcPr>
        <w:p w14:paraId="4CA251BC" w14:textId="19B787C8" w:rsidR="00E17040" w:rsidRDefault="00E17040">
          <w:pPr>
            <w:pStyle w:val="Encabezado"/>
          </w:pPr>
          <w:r>
            <w:rPr>
              <w:rFonts w:ascii="Calibri" w:hAnsi="Calibri" w:cs="Arial"/>
              <w:b/>
              <w:noProof/>
              <w:snapToGrid w:val="0"/>
              <w:sz w:val="22"/>
              <w:szCs w:val="22"/>
            </w:rPr>
            <w:drawing>
              <wp:inline distT="0" distB="0" distL="0" distR="0" wp14:anchorId="33D586B9" wp14:editId="26D8FDA1">
                <wp:extent cx="2854456" cy="594360"/>
                <wp:effectExtent l="0" t="0" r="3175" b="0"/>
                <wp:docPr id="2" name="Imagen 2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6317" cy="59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163327" w14:textId="7EABEDEC" w:rsidR="00E42F25" w:rsidRDefault="00E42F25" w:rsidP="00E17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7CC"/>
    <w:multiLevelType w:val="hybridMultilevel"/>
    <w:tmpl w:val="D0BC32B8"/>
    <w:lvl w:ilvl="0" w:tplc="904073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6B8D"/>
    <w:multiLevelType w:val="hybridMultilevel"/>
    <w:tmpl w:val="DBBA29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6F56"/>
    <w:multiLevelType w:val="hybridMultilevel"/>
    <w:tmpl w:val="AEB4B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25"/>
    <w:rsid w:val="00716CD8"/>
    <w:rsid w:val="009D7B94"/>
    <w:rsid w:val="00BE05E6"/>
    <w:rsid w:val="00C16E51"/>
    <w:rsid w:val="00CE4EDA"/>
    <w:rsid w:val="00E17040"/>
    <w:rsid w:val="00E42F25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B0DF"/>
  <w15:chartTrackingRefBased/>
  <w15:docId w15:val="{10241EB3-7A36-4092-AE81-E2F202D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42F25"/>
    <w:pPr>
      <w:spacing w:before="120" w:after="120"/>
      <w:jc w:val="both"/>
    </w:pPr>
    <w:rPr>
      <w:rFonts w:ascii="Univers" w:hAnsi="Univers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42F25"/>
    <w:rPr>
      <w:rFonts w:ascii="Univers" w:eastAsia="Times New Roman" w:hAnsi="Univers" w:cs="Times New Roman"/>
      <w:szCs w:val="20"/>
      <w:lang w:eastAsia="es-ES"/>
    </w:rPr>
  </w:style>
  <w:style w:type="paragraph" w:customStyle="1" w:styleId="Documento1">
    <w:name w:val="Documento 1"/>
    <w:rsid w:val="00E42F25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E42F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F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2F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F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4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ALONSO ALVAREZ</dc:creator>
  <cp:keywords/>
  <dc:description/>
  <cp:lastModifiedBy>Alexis González</cp:lastModifiedBy>
  <cp:revision>3</cp:revision>
  <dcterms:created xsi:type="dcterms:W3CDTF">2022-09-09T10:18:00Z</dcterms:created>
  <dcterms:modified xsi:type="dcterms:W3CDTF">2022-12-12T12:11:00Z</dcterms:modified>
</cp:coreProperties>
</file>